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t>EDITAL DE LICITAÇÃO</w:t>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t>MODALIDADE: “CONCORRÊNCIA Nº 26/2025”</w:t>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pPr>
      <w:r>
        <w:rPr>
          <w:rFonts w:cs="Book Antiqua" w:ascii="Book Antiqua" w:hAnsi="Book Antiqua"/>
          <w:b/>
          <w:sz w:val="18"/>
          <w:szCs w:val="18"/>
          <w:u w:val="single"/>
        </w:rPr>
        <w:t xml:space="preserve">VALOR ESTIMADO: </w:t>
      </w:r>
      <w:r>
        <w:rPr>
          <w:rStyle w:val="Nfaseforte"/>
          <w:rFonts w:cs="Book Antiqua" w:ascii="Book Antiqua" w:hAnsi="Book Antiqua"/>
          <w:sz w:val="18"/>
          <w:szCs w:val="18"/>
          <w:u w:val="single"/>
          <w:shd w:fill="FFFF00" w:val="clear"/>
        </w:rPr>
        <w:t>4.349.538,61</w:t>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t>CRITÉRIO DE JULGAMENTO: MENOR PREÇO GLOBAL DO LOTE ÚNICO</w:t>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pPr>
      <w:r>
        <w:rPr>
          <w:rFonts w:cs="Book Antiqua" w:ascii="Book Antiqua" w:hAnsi="Book Antiqua"/>
          <w:b/>
          <w:sz w:val="18"/>
          <w:szCs w:val="18"/>
          <w:u w:val="single"/>
          <w:shd w:fill="FFFF00" w:val="clear"/>
        </w:rPr>
        <w:t>MODO DE DISPUTA: ABERTO</w:t>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t>FORMA: ELETRÔNICA</w:t>
      </w:r>
    </w:p>
    <w:p>
      <w:pPr>
        <w:pStyle w:val="Normal"/>
        <w:tabs>
          <w:tab w:val="clear" w:pos="708"/>
          <w:tab w:val="left" w:pos="8931" w:leader="none"/>
        </w:tabs>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ind w:firstLine="1418"/>
        <w:jc w:val="both"/>
        <w:rPr/>
      </w:pPr>
      <w:r>
        <w:rPr>
          <w:rFonts w:cs="Book Antiqua" w:ascii="Book Antiqua" w:hAnsi="Book Antiqua"/>
          <w:sz w:val="18"/>
          <w:szCs w:val="18"/>
        </w:rPr>
        <w:t xml:space="preserve">A PREFEITURA MUNICIPAL DE RONDONÓPOLIS/MT, </w:t>
      </w:r>
      <w:r>
        <w:rPr>
          <w:rFonts w:cs="Book Antiqua" w:ascii="Book Antiqua" w:hAnsi="Book Antiqua"/>
          <w:bCs/>
          <w:sz w:val="18"/>
          <w:szCs w:val="18"/>
        </w:rPr>
        <w:t xml:space="preserve">Estado de Mato Grosso, localizada à Avenida Duque de Caxias, n.º 526, Bairro Vila Aurora, sob a </w:t>
      </w:r>
      <w:r>
        <w:rPr>
          <w:rFonts w:cs="Book Antiqua" w:ascii="Book Antiqua" w:hAnsi="Book Antiqua"/>
          <w:b/>
          <w:bCs/>
          <w:sz w:val="18"/>
          <w:szCs w:val="18"/>
        </w:rPr>
        <w:t>Unidade Compradora nº 989151,</w:t>
      </w:r>
      <w:r>
        <w:rPr>
          <w:rFonts w:cs="Book Antiqua" w:ascii="Book Antiqua" w:hAnsi="Book Antiqua"/>
          <w:sz w:val="18"/>
          <w:szCs w:val="18"/>
        </w:rPr>
        <w:t xml:space="preserve"> torna público que realizará licitação no dia </w:t>
      </w:r>
      <w:r>
        <w:rPr>
          <w:rFonts w:cs="Book Antiqua" w:ascii="Book Antiqua" w:hAnsi="Book Antiqua"/>
          <w:b/>
          <w:bCs/>
          <w:sz w:val="18"/>
          <w:szCs w:val="18"/>
          <w:shd w:fill="FFFF00" w:val="clear"/>
        </w:rPr>
        <w:t>30</w:t>
      </w:r>
      <w:r>
        <w:rPr>
          <w:rFonts w:cs="Book Antiqua" w:ascii="Book Antiqua" w:hAnsi="Book Antiqua"/>
          <w:b/>
          <w:bCs/>
          <w:sz w:val="18"/>
          <w:szCs w:val="18"/>
          <w:shd w:fill="FFFF00" w:val="clear"/>
        </w:rPr>
        <w:t>/</w:t>
      </w:r>
      <w:r>
        <w:rPr>
          <w:rFonts w:cs="Book Antiqua" w:ascii="Book Antiqua" w:hAnsi="Book Antiqua"/>
          <w:b/>
          <w:bCs/>
          <w:sz w:val="18"/>
          <w:szCs w:val="18"/>
          <w:shd w:fill="FFFF00" w:val="clear"/>
        </w:rPr>
        <w:t>07</w:t>
      </w:r>
      <w:r>
        <w:rPr>
          <w:rFonts w:cs="Book Antiqua" w:ascii="Book Antiqua" w:hAnsi="Book Antiqua"/>
          <w:b/>
          <w:bCs/>
          <w:sz w:val="18"/>
          <w:szCs w:val="18"/>
          <w:shd w:fill="FFFF00" w:val="clear"/>
        </w:rPr>
        <w:t>/</w:t>
      </w:r>
      <w:r>
        <w:rPr>
          <w:rFonts w:cs="Book Antiqua" w:ascii="Book Antiqua" w:hAnsi="Book Antiqua"/>
          <w:b/>
          <w:bCs/>
          <w:sz w:val="18"/>
          <w:szCs w:val="18"/>
          <w:shd w:fill="FFFF00" w:val="clear"/>
        </w:rPr>
        <w:t>2026</w:t>
      </w:r>
      <w:r>
        <w:rPr>
          <w:rFonts w:cs="Book Antiqua" w:ascii="Book Antiqua" w:hAnsi="Book Antiqua"/>
          <w:sz w:val="18"/>
          <w:szCs w:val="18"/>
          <w:shd w:fill="FFFF00" w:val="clear"/>
        </w:rPr>
        <w:t>,</w:t>
      </w:r>
      <w:r>
        <w:rPr>
          <w:rFonts w:cs="Book Antiqua" w:ascii="Book Antiqua" w:hAnsi="Book Antiqua"/>
          <w:sz w:val="18"/>
          <w:szCs w:val="18"/>
        </w:rPr>
        <w:t xml:space="preserve"> na modalidade de </w:t>
      </w:r>
      <w:r>
        <w:rPr>
          <w:rFonts w:cs="Book Antiqua" w:ascii="Book Antiqua" w:hAnsi="Book Antiqua"/>
          <w:b/>
          <w:bCs/>
          <w:sz w:val="18"/>
          <w:szCs w:val="18"/>
          <w:u w:val="single"/>
        </w:rPr>
        <w:t>CONCORRÊNCIA ELETRÔNICA,</w:t>
      </w:r>
      <w:r>
        <w:rPr>
          <w:rFonts w:cs="Book Antiqua" w:ascii="Book Antiqua" w:hAnsi="Book Antiqua"/>
          <w:sz w:val="18"/>
          <w:szCs w:val="18"/>
        </w:rPr>
        <w:t xml:space="preserve"> julgamento </w:t>
      </w:r>
      <w:r>
        <w:rPr>
          <w:rFonts w:cs="Book Antiqua" w:ascii="Book Antiqua" w:hAnsi="Book Antiqua"/>
          <w:b/>
          <w:bCs/>
          <w:sz w:val="18"/>
          <w:szCs w:val="18"/>
          <w:u w:val="single"/>
        </w:rPr>
        <w:t>MENOR PREÇO</w:t>
      </w:r>
      <w:r>
        <w:rPr>
          <w:rFonts w:cs="Book Antiqua" w:ascii="Book Antiqua" w:hAnsi="Book Antiqua"/>
          <w:b/>
          <w:sz w:val="18"/>
          <w:szCs w:val="18"/>
          <w:u w:val="single"/>
        </w:rPr>
        <w:t xml:space="preserve"> MENOR PREÇO GLOBAL DO LOTE ÚNICO</w:t>
      </w:r>
      <w:r>
        <w:rPr>
          <w:rFonts w:cs="Book Antiqua" w:ascii="Book Antiqua" w:hAnsi="Book Antiqua"/>
          <w:sz w:val="18"/>
          <w:szCs w:val="18"/>
        </w:rPr>
        <w:t xml:space="preserve">, de acordo com o que se encontra definido na especificação e condições estabelecidas neste Edital e seus anexos, cuja direção e julgamento serão realizados por sua </w:t>
      </w:r>
      <w:r>
        <w:rPr>
          <w:rStyle w:val="Manoel"/>
          <w:rFonts w:cs="Book Antiqua" w:ascii="Book Antiqua" w:hAnsi="Book Antiqua"/>
          <w:color w:val="000000"/>
          <w:sz w:val="18"/>
          <w:szCs w:val="18"/>
        </w:rPr>
        <w:t>Agente de Contratação nomeado Portaria nº 39.388, de 02 de julho de 2025</w:t>
      </w:r>
      <w:r>
        <w:rPr>
          <w:rFonts w:cs="Book Antiqua" w:ascii="Book Antiqua" w:hAnsi="Book Antiqua"/>
          <w:sz w:val="18"/>
          <w:szCs w:val="18"/>
        </w:rPr>
        <w:t>, em conformidade com o disposto na Lei de Licitações e Contratos Administrativos nº 14.133, de 1º de abril de 2021 e Decreto Municipal nº 11.685, de 18 de setembro de 2023 demais legislações pertinentes, mediante as condições estabelecidas neste Edital e seus anexos.</w:t>
      </w:r>
    </w:p>
    <w:p>
      <w:pPr>
        <w:pStyle w:val="Normal"/>
        <w:ind w:firstLine="1418"/>
        <w:jc w:val="both"/>
        <w:rPr>
          <w:rFonts w:ascii="Book Antiqua" w:hAnsi="Book Antiqua" w:cs="Book Antiqua"/>
          <w:sz w:val="18"/>
          <w:szCs w:val="18"/>
        </w:rPr>
      </w:pPr>
      <w:r>
        <w:rPr>
          <w:rFonts w:cs="Book Antiqua" w:ascii="Book Antiqua" w:hAnsi="Book Antiqua"/>
          <w:sz w:val="18"/>
          <w:szCs w:val="18"/>
        </w:rPr>
      </w:r>
    </w:p>
    <w:p>
      <w:pPr>
        <w:pStyle w:val="Normal"/>
        <w:ind w:firstLine="1418"/>
        <w:jc w:val="both"/>
        <w:rPr/>
      </w:pPr>
      <w:r>
        <w:rPr>
          <w:rFonts w:cs="Book Antiqua" w:ascii="Book Antiqua" w:hAnsi="Book Antiqua"/>
          <w:sz w:val="18"/>
          <w:szCs w:val="18"/>
        </w:rPr>
        <w:t xml:space="preserve">O Prazo para cadastramento da </w:t>
      </w:r>
      <w:r>
        <w:rPr>
          <w:rFonts w:cs="Book Antiqua" w:ascii="Book Antiqua" w:hAnsi="Book Antiqua"/>
          <w:b/>
          <w:sz w:val="18"/>
          <w:szCs w:val="18"/>
        </w:rPr>
        <w:t>PROPOSTA ELETRÔNICA DE PREÇOS e</w:t>
      </w:r>
      <w:r>
        <w:rPr>
          <w:rFonts w:cs="Book Antiqua" w:ascii="Book Antiqua" w:hAnsi="Book Antiqua"/>
          <w:sz w:val="18"/>
          <w:szCs w:val="18"/>
        </w:rPr>
        <w:t xml:space="preserve"> </w:t>
      </w:r>
      <w:r>
        <w:rPr>
          <w:rFonts w:cs="Book Antiqua" w:ascii="Book Antiqua" w:hAnsi="Book Antiqua"/>
          <w:b/>
          <w:sz w:val="18"/>
          <w:szCs w:val="18"/>
        </w:rPr>
        <w:t xml:space="preserve">DOCUMENTAÇÃO DE HABILITAÇÃO </w:t>
      </w:r>
      <w:r>
        <w:rPr>
          <w:rFonts w:cs="Book Antiqua" w:ascii="Book Antiqua" w:hAnsi="Book Antiqua"/>
          <w:sz w:val="18"/>
          <w:szCs w:val="18"/>
        </w:rPr>
        <w:t xml:space="preserve">junto a Plataforma Eletrônica constante na página eletrônica da BLL– Bolsa de Licitações e Leilões. </w:t>
      </w:r>
      <w:hyperlink r:id="rId2">
        <w:r>
          <w:rPr>
            <w:rStyle w:val="LinkdaInternet"/>
            <w:rFonts w:cs="Book Antiqua" w:ascii="Book Antiqua" w:hAnsi="Book Antiqua"/>
            <w:sz w:val="18"/>
            <w:szCs w:val="18"/>
          </w:rPr>
          <w:t>BLLCOMPRAS.COM.</w:t>
        </w:r>
      </w:hyperlink>
      <w:r>
        <w:rPr>
          <w:rFonts w:cs="Book Antiqua" w:ascii="Book Antiqua" w:hAnsi="Book Antiqua"/>
          <w:sz w:val="18"/>
          <w:szCs w:val="18"/>
        </w:rPr>
        <w:t xml:space="preserve"> até as</w:t>
      </w:r>
      <w:r>
        <w:rPr>
          <w:rFonts w:cs="Book Antiqua" w:ascii="Book Antiqua" w:hAnsi="Book Antiqua"/>
          <w:b/>
          <w:bCs/>
          <w:sz w:val="18"/>
          <w:szCs w:val="18"/>
          <w:shd w:fill="FFFF00" w:val="clear"/>
        </w:rPr>
        <w:t xml:space="preserve"> </w:t>
      </w:r>
      <w:r>
        <w:rPr>
          <w:rFonts w:cs="Book Antiqua" w:ascii="Book Antiqua" w:hAnsi="Book Antiqua"/>
          <w:b/>
          <w:bCs/>
          <w:sz w:val="18"/>
          <w:szCs w:val="18"/>
          <w:shd w:fill="FFFF00" w:val="clear"/>
        </w:rPr>
        <w:t>09</w:t>
      </w:r>
      <w:r>
        <w:rPr>
          <w:rFonts w:cs="Book Antiqua" w:ascii="Book Antiqua" w:hAnsi="Book Antiqua"/>
          <w:b/>
          <w:bCs/>
          <w:sz w:val="18"/>
          <w:szCs w:val="18"/>
          <w:shd w:fill="FFFF00" w:val="clear"/>
        </w:rPr>
        <w:t>:</w:t>
      </w:r>
      <w:r>
        <w:rPr>
          <w:rFonts w:cs="Book Antiqua" w:ascii="Book Antiqua" w:hAnsi="Book Antiqua"/>
          <w:b/>
          <w:bCs/>
          <w:sz w:val="18"/>
          <w:szCs w:val="18"/>
          <w:shd w:fill="FFFF00" w:val="clear"/>
        </w:rPr>
        <w:t>30</w:t>
      </w:r>
      <w:r>
        <w:rPr>
          <w:rFonts w:cs="Book Antiqua" w:ascii="Book Antiqua" w:hAnsi="Book Antiqua"/>
          <w:b/>
          <w:sz w:val="18"/>
          <w:szCs w:val="18"/>
          <w:shd w:fill="FFFF00" w:val="clear"/>
        </w:rPr>
        <w:t xml:space="preserve"> horas (HORÁRIO DE BRASÍLIA) do dia </w:t>
      </w:r>
      <w:r>
        <w:rPr>
          <w:rFonts w:cs="Book Antiqua" w:ascii="Book Antiqua" w:hAnsi="Book Antiqua"/>
          <w:b/>
          <w:sz w:val="18"/>
          <w:szCs w:val="18"/>
          <w:shd w:fill="FFFF00" w:val="clear"/>
        </w:rPr>
        <w:t>30</w:t>
      </w:r>
      <w:r>
        <w:rPr>
          <w:rFonts w:cs="Book Antiqua" w:ascii="Book Antiqua" w:hAnsi="Book Antiqua"/>
          <w:b/>
          <w:sz w:val="18"/>
          <w:szCs w:val="18"/>
          <w:shd w:fill="FFFF00" w:val="clear"/>
        </w:rPr>
        <w:t>/</w:t>
      </w:r>
      <w:r>
        <w:rPr>
          <w:rFonts w:cs="Book Antiqua" w:ascii="Book Antiqua" w:hAnsi="Book Antiqua"/>
          <w:b/>
          <w:sz w:val="18"/>
          <w:szCs w:val="18"/>
          <w:shd w:fill="FFFF00" w:val="clear"/>
        </w:rPr>
        <w:t>07</w:t>
      </w:r>
      <w:r>
        <w:rPr>
          <w:rFonts w:cs="Book Antiqua" w:ascii="Book Antiqua" w:hAnsi="Book Antiqua"/>
          <w:b/>
          <w:sz w:val="18"/>
          <w:szCs w:val="18"/>
          <w:shd w:fill="FFFF00" w:val="clear"/>
        </w:rPr>
        <w:t>/</w:t>
      </w:r>
      <w:r>
        <w:rPr>
          <w:rFonts w:cs="Book Antiqua" w:ascii="Book Antiqua" w:hAnsi="Book Antiqua"/>
          <w:b/>
          <w:sz w:val="18"/>
          <w:szCs w:val="18"/>
          <w:shd w:fill="FFFF00" w:val="clear"/>
        </w:rPr>
        <w:t>2026</w:t>
      </w:r>
      <w:r>
        <w:rPr>
          <w:rFonts w:cs="Book Antiqua" w:ascii="Book Antiqua" w:hAnsi="Book Antiqua"/>
          <w:b/>
          <w:sz w:val="18"/>
          <w:szCs w:val="18"/>
          <w:shd w:fill="FFFF00" w:val="clear"/>
        </w:rPr>
        <w:t>.</w:t>
      </w:r>
    </w:p>
    <w:p>
      <w:pPr>
        <w:pStyle w:val="Normal"/>
        <w:ind w:firstLine="1418"/>
        <w:jc w:val="both"/>
        <w:rPr>
          <w:rFonts w:ascii="Book Antiqua" w:hAnsi="Book Antiqua" w:cs="Book Antiqua"/>
          <w:sz w:val="18"/>
          <w:szCs w:val="18"/>
        </w:rPr>
      </w:pPr>
      <w:r>
        <w:rPr>
          <w:rFonts w:cs="Book Antiqua" w:ascii="Book Antiqua" w:hAnsi="Book Antiqua"/>
          <w:sz w:val="18"/>
          <w:szCs w:val="18"/>
        </w:rPr>
      </w:r>
    </w:p>
    <w:p>
      <w:pPr>
        <w:pStyle w:val="Normal"/>
        <w:spacing w:lineRule="auto" w:line="276"/>
        <w:ind w:firstLine="1418"/>
        <w:jc w:val="both"/>
        <w:rPr/>
      </w:pPr>
      <w:r>
        <w:rPr>
          <w:rFonts w:cs="Book Antiqua" w:ascii="Book Antiqua" w:hAnsi="Book Antiqua"/>
          <w:sz w:val="18"/>
          <w:szCs w:val="18"/>
        </w:rPr>
        <w:t>Os interessados poderão</w:t>
      </w:r>
      <w:r>
        <w:rPr>
          <w:rFonts w:ascii="Book Antiqua" w:hAnsi="Book Antiqua"/>
          <w:sz w:val="18"/>
          <w:szCs w:val="18"/>
        </w:rPr>
        <w:t xml:space="preserve"> re</w:t>
      </w:r>
      <w:r>
        <w:rPr>
          <w:rFonts w:cs="Book Antiqua" w:ascii="Book Antiqua" w:hAnsi="Book Antiqua"/>
          <w:sz w:val="18"/>
          <w:szCs w:val="18"/>
        </w:rPr>
        <w:t xml:space="preserve">tirar o Edital completo, no </w:t>
      </w:r>
      <w:r>
        <w:rPr>
          <w:rStyle w:val="Hyperlink1"/>
          <w:rFonts w:cs="Book Antiqua" w:ascii="Book Antiqua" w:hAnsi="Book Antiqua"/>
          <w:sz w:val="18"/>
          <w:szCs w:val="18"/>
        </w:rPr>
        <w:t>bllcompras.com</w:t>
      </w:r>
      <w:r>
        <w:rPr>
          <w:rFonts w:cs="Book Antiqua" w:ascii="Book Antiqua" w:hAnsi="Book Antiqua"/>
          <w:sz w:val="18"/>
          <w:szCs w:val="18"/>
        </w:rPr>
        <w:t xml:space="preserve"> bem como examinar o Estudo Técnico Preliminar – ETP e Projeto Básico, na sede da Prefeitura Municipal, no endereço – Av. Duque de Caxias, n. 526, Vila Aurora, mediante apresentação de CD-ROM ou PEN-DRIVE, no horário das 13:00 às 18:00 horas em dias úteis</w:t>
      </w:r>
      <w:r>
        <w:rPr>
          <w:rStyle w:val="Hyperlink1"/>
          <w:rFonts w:cs="Book Antiqua" w:ascii="Book Antiqua" w:hAnsi="Book Antiqua"/>
          <w:sz w:val="18"/>
          <w:szCs w:val="18"/>
        </w:rPr>
        <w:t>.</w:t>
      </w:r>
    </w:p>
    <w:p>
      <w:pPr>
        <w:pStyle w:val="Normal"/>
        <w:spacing w:lineRule="auto" w:line="276"/>
        <w:ind w:firstLine="1418"/>
        <w:jc w:val="both"/>
        <w:rPr>
          <w:rFonts w:ascii="Book Antiqua" w:hAnsi="Book Antiqua"/>
          <w:sz w:val="18"/>
          <w:szCs w:val="18"/>
        </w:rPr>
      </w:pPr>
      <w:r>
        <w:rPr>
          <w:rFonts w:ascii="Book Antiqua" w:hAnsi="Book Antiqua"/>
          <w:sz w:val="18"/>
          <w:szCs w:val="18"/>
        </w:rPr>
      </w:r>
    </w:p>
    <w:p>
      <w:pPr>
        <w:pStyle w:val="Standard"/>
        <w:ind w:firstLine="1417"/>
        <w:jc w:val="both"/>
        <w:rPr>
          <w:rStyle w:val="LinkdaInternet"/>
          <w:rFonts w:ascii="Book Antiqua" w:hAnsi="Book Antiqua" w:cs="Book Antiqua"/>
          <w:sz w:val="18"/>
          <w:szCs w:val="18"/>
        </w:rPr>
      </w:pPr>
      <w:r>
        <w:rPr>
          <w:rFonts w:cs="Book Antiqua"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r>
    </w:p>
    <w:p>
      <w:pPr>
        <w:pStyle w:val="Normal"/>
        <w:ind w:firstLine="1418"/>
        <w:jc w:val="both"/>
        <w:rPr>
          <w:rFonts w:ascii="Book Antiqua" w:hAnsi="Book Antiqua"/>
          <w:sz w:val="18"/>
          <w:szCs w:val="18"/>
        </w:rPr>
      </w:pPr>
      <w:r>
        <w:rPr>
          <w:rFonts w:ascii="Book Antiqua" w:hAnsi="Book Antiqua"/>
          <w:sz w:val="18"/>
          <w:szCs w:val="18"/>
        </w:rPr>
      </w:r>
    </w:p>
    <w:p>
      <w:pPr>
        <w:pStyle w:val="Standard"/>
        <w:jc w:val="center"/>
        <w:rPr/>
      </w:pPr>
      <w:r>
        <w:rPr>
          <w:rFonts w:cs="Book Antiqua" w:ascii="Book Antiqua" w:hAnsi="Book Antiqua"/>
          <w:b/>
          <w:bCs/>
          <w:sz w:val="18"/>
          <w:szCs w:val="18"/>
        </w:rPr>
        <w:t xml:space="preserve">RAFAELLY PRISCILA REZENDE DE ALMEIDA </w:t>
      </w:r>
    </w:p>
    <w:p>
      <w:pPr>
        <w:pStyle w:val="Standard"/>
        <w:spacing w:lineRule="auto" w:line="276"/>
        <w:jc w:val="center"/>
        <w:rPr>
          <w:rFonts w:ascii="Book Antiqua" w:hAnsi="Book Antiqua" w:cs="Book Antiqua"/>
          <w:b/>
          <w:b/>
          <w:bCs/>
          <w:sz w:val="18"/>
          <w:szCs w:val="18"/>
        </w:rPr>
      </w:pPr>
      <w:r>
        <w:rPr>
          <w:rFonts w:eastAsia="Times New Roman" w:cs="Book Antiqua" w:ascii="Book Antiqua" w:hAnsi="Book Antiqua"/>
          <w:b/>
          <w:bCs/>
          <w:sz w:val="18"/>
          <w:szCs w:val="18"/>
          <w:lang w:bidi="ar-SA"/>
        </w:rPr>
        <w:t>Superintendente de Compras e Licitação</w:t>
      </w:r>
    </w:p>
    <w:p>
      <w:pPr>
        <w:pStyle w:val="Normal"/>
        <w:jc w:val="both"/>
        <w:rPr>
          <w:rFonts w:ascii="Book Antiqua" w:hAnsi="Book Antiqua" w:cs="Book Antiqua"/>
          <w:b/>
          <w:b/>
          <w:bCs/>
          <w:sz w:val="18"/>
          <w:szCs w:val="18"/>
        </w:rPr>
      </w:pPr>
      <w:r>
        <w:rPr>
          <w:rFonts w:cs="Book Antiqua" w:ascii="Book Antiqua" w:hAnsi="Book Antiqua"/>
          <w:b/>
          <w:bCs/>
          <w:sz w:val="18"/>
          <w:szCs w:val="18"/>
        </w:rPr>
      </w:r>
    </w:p>
    <w:p>
      <w:pPr>
        <w:pStyle w:val="Normal"/>
        <w:suppressAutoHyphens w:val="false"/>
        <w:rPr>
          <w:rFonts w:ascii="Book Antiqua" w:hAnsi="Book Antiqua" w:cs="Book Antiqua"/>
          <w:b/>
          <w:b/>
          <w:sz w:val="18"/>
          <w:szCs w:val="18"/>
        </w:rPr>
      </w:pPr>
      <w:r>
        <w:rPr>
          <w:rFonts w:cs="Book Antiqua" w:ascii="Book Antiqua" w:hAnsi="Book Antiqua"/>
          <w:b/>
          <w:sz w:val="18"/>
          <w:szCs w:val="18"/>
        </w:rPr>
      </w:r>
      <w:r>
        <w:br w:type="page"/>
      </w:r>
    </w:p>
    <w:p>
      <w:pPr>
        <w:pStyle w:val="Normal"/>
        <w:numPr>
          <w:ilvl w:val="0"/>
          <w:numId w:val="33"/>
        </w:numPr>
        <w:pBdr>
          <w:top w:val="single" w:sz="4" w:space="1" w:color="000000"/>
          <w:left w:val="single" w:sz="4" w:space="0" w:color="000000"/>
          <w:bottom w:val="single" w:sz="4" w:space="1" w:color="000000"/>
          <w:right w:val="single" w:sz="4" w:space="4" w:color="000000"/>
        </w:pBdr>
        <w:shd w:val="clear" w:color="auto" w:fill="E0E0E0"/>
        <w:tabs>
          <w:tab w:val="clear" w:pos="708"/>
          <w:tab w:val="left" w:pos="0" w:leader="none"/>
          <w:tab w:val="left" w:pos="360" w:leader="none"/>
        </w:tabs>
        <w:ind w:left="0" w:hanging="0"/>
        <w:jc w:val="center"/>
        <w:rPr>
          <w:rFonts w:ascii="Book Antiqua" w:hAnsi="Book Antiqua" w:cs="Book Antiqua"/>
          <w:b/>
          <w:b/>
          <w:sz w:val="18"/>
          <w:szCs w:val="18"/>
        </w:rPr>
      </w:pPr>
      <w:r>
        <w:rPr>
          <w:rFonts w:cs="Book Antiqua" w:ascii="Book Antiqua" w:hAnsi="Book Antiqua"/>
          <w:b/>
          <w:sz w:val="18"/>
          <w:szCs w:val="18"/>
        </w:rPr>
        <w:t>DO EDITAL</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shd w:fill="DDDDDD" w:val="clear"/>
        </w:rPr>
      </w:pPr>
      <w:r>
        <w:rPr>
          <w:rFonts w:cs="Book Antiqua" w:ascii="Book Antiqua" w:hAnsi="Book Antiqua"/>
          <w:sz w:val="18"/>
          <w:szCs w:val="18"/>
          <w:shd w:fill="DDDDDD" w:val="clear"/>
        </w:rPr>
      </w:r>
    </w:p>
    <w:p>
      <w:pPr>
        <w:pStyle w:val="Normal"/>
        <w:jc w:val="both"/>
        <w:rPr/>
      </w:pPr>
      <w:r>
        <w:rPr>
          <w:rFonts w:cs="Book Antiqua" w:ascii="Book Antiqua" w:hAnsi="Book Antiqua"/>
          <w:sz w:val="18"/>
          <w:szCs w:val="18"/>
          <w:shd w:fill="FFFFFF" w:val="clear"/>
        </w:rPr>
        <w:t xml:space="preserve">1.1—São partes integrantes deste Edital em CD-ROM o Estudo Técnico Preliminar – ETP, </w:t>
      </w:r>
      <w:r>
        <w:rPr>
          <w:rStyle w:val="Nfaseforte"/>
          <w:rFonts w:cs="Book Antiqua" w:ascii="Book Antiqua" w:hAnsi="Book Antiqua"/>
          <w:b w:val="false"/>
          <w:bCs w:val="false"/>
          <w:sz w:val="18"/>
          <w:szCs w:val="18"/>
          <w:shd w:fill="FFFFFF" w:val="clear"/>
        </w:rPr>
        <w:t>Projeto Básico</w:t>
      </w:r>
      <w:r>
        <w:rPr>
          <w:rFonts w:cs="Book Antiqua" w:ascii="Book Antiqua" w:hAnsi="Book Antiqua"/>
          <w:sz w:val="18"/>
          <w:szCs w:val="18"/>
          <w:shd w:fill="FFFFFF" w:val="clear"/>
        </w:rPr>
        <w:t xml:space="preserve"> </w:t>
      </w:r>
      <w:r>
        <w:rPr>
          <w:rFonts w:ascii="Book Antiqua" w:hAnsi="Book Antiqua"/>
          <w:sz w:val="18"/>
          <w:szCs w:val="18"/>
        </w:rPr>
        <w:t xml:space="preserve"> </w:t>
      </w:r>
      <w:r>
        <w:rPr>
          <w:rFonts w:cs="Book Antiqua" w:ascii="Book Antiqua" w:hAnsi="Book Antiqua"/>
          <w:sz w:val="18"/>
          <w:szCs w:val="18"/>
          <w:shd w:fill="FFFFFF" w:val="clear"/>
        </w:rPr>
        <w:t>contendo os seguintes elementos:</w:t>
      </w:r>
    </w:p>
    <w:p>
      <w:pPr>
        <w:pStyle w:val="Normal"/>
        <w:jc w:val="both"/>
        <w:rPr>
          <w:rFonts w:ascii="Book Antiqua" w:hAnsi="Book Antiqua" w:cs="Book Antiqua"/>
          <w:sz w:val="18"/>
          <w:szCs w:val="18"/>
          <w:shd w:fill="FFFFFF" w:val="clear"/>
        </w:rPr>
      </w:pPr>
      <w:r>
        <w:rPr>
          <w:rFonts w:cs="Book Antiqua" w:ascii="Book Antiqua" w:hAnsi="Book Antiqua"/>
          <w:sz w:val="18"/>
          <w:szCs w:val="18"/>
          <w:shd w:fill="FFFFFF" w:val="clear"/>
        </w:rPr>
      </w:r>
    </w:p>
    <w:p>
      <w:pPr>
        <w:pStyle w:val="Normal"/>
        <w:jc w:val="both"/>
        <w:rPr>
          <w:rFonts w:ascii="Book Antiqua" w:hAnsi="Book Antiqua" w:cs="Book Antiqua"/>
          <w:b/>
          <w:b/>
          <w:bCs/>
          <w:sz w:val="18"/>
          <w:szCs w:val="18"/>
          <w:shd w:fill="FFFFFF" w:val="clear"/>
        </w:rPr>
      </w:pPr>
      <w:r>
        <w:rPr>
          <w:rFonts w:cs="Book Antiqua" w:ascii="Book Antiqua" w:hAnsi="Book Antiqua"/>
          <w:b/>
          <w:bCs/>
          <w:sz w:val="18"/>
          <w:szCs w:val="18"/>
          <w:shd w:fill="FFFFFF" w:val="clear"/>
        </w:rPr>
        <w:t>I – Estudo Técnico Preliminar – Mapa de Risco</w:t>
      </w:r>
    </w:p>
    <w:p>
      <w:pPr>
        <w:pStyle w:val="Normal"/>
        <w:jc w:val="both"/>
        <w:rPr/>
      </w:pPr>
      <w:r>
        <w:rPr>
          <w:rFonts w:cs="Book Antiqua" w:ascii="Book Antiqua" w:hAnsi="Book Antiqua"/>
          <w:b/>
          <w:bCs/>
          <w:sz w:val="18"/>
          <w:szCs w:val="18"/>
          <w:shd w:fill="FFFFFF" w:val="clear"/>
        </w:rPr>
        <w:t xml:space="preserve">II – </w:t>
      </w:r>
      <w:r>
        <w:rPr>
          <w:rStyle w:val="Nfaseforte"/>
        </w:rPr>
        <w:t>Projeto Básico</w:t>
      </w:r>
      <w:r>
        <w:rPr/>
        <w:t xml:space="preserve"> </w:t>
      </w:r>
    </w:p>
    <w:p>
      <w:pPr>
        <w:pStyle w:val="Normal"/>
        <w:rPr/>
      </w:pPr>
      <w:r>
        <w:rPr>
          <w:rFonts w:cs="Book Antiqua" w:ascii="Book Antiqua" w:hAnsi="Book Antiqua"/>
          <w:b/>
          <w:bCs/>
          <w:sz w:val="18"/>
          <w:szCs w:val="18"/>
          <w:shd w:fill="FFFFFF" w:val="clear"/>
        </w:rPr>
        <w:t>III – Planilha Orçamentária;</w:t>
      </w:r>
    </w:p>
    <w:p>
      <w:pPr>
        <w:pStyle w:val="Normal"/>
        <w:rPr/>
      </w:pPr>
      <w:r>
        <w:rPr>
          <w:rFonts w:cs="Book Antiqua" w:ascii="Book Antiqua" w:hAnsi="Book Antiqua"/>
          <w:b/>
          <w:bCs/>
          <w:sz w:val="18"/>
          <w:szCs w:val="18"/>
          <w:shd w:fill="FFFFFF" w:val="clear"/>
        </w:rPr>
        <w:t>IV – Cronograma Físico-Financeiro;</w:t>
      </w:r>
    </w:p>
    <w:p>
      <w:pPr>
        <w:pStyle w:val="Normal"/>
        <w:rPr/>
      </w:pPr>
      <w:r>
        <w:rPr>
          <w:rFonts w:cs="Book Antiqua" w:ascii="Book Antiqua" w:hAnsi="Book Antiqua"/>
          <w:b/>
          <w:bCs/>
          <w:sz w:val="18"/>
          <w:szCs w:val="18"/>
          <w:shd w:fill="FFFFFF" w:val="clear"/>
        </w:rPr>
        <w:t>V—Memorial Descritivo</w:t>
      </w:r>
    </w:p>
    <w:p>
      <w:pPr>
        <w:pStyle w:val="Normal"/>
        <w:rPr/>
      </w:pPr>
      <w:r>
        <w:rPr>
          <w:rFonts w:cs="Book Antiqua" w:ascii="Book Antiqua" w:hAnsi="Book Antiqua"/>
          <w:b/>
          <w:bCs/>
          <w:sz w:val="18"/>
          <w:szCs w:val="18"/>
          <w:shd w:fill="FFFFFF" w:val="clear"/>
        </w:rPr>
        <w:t>VI – Memorial de Cálculo</w:t>
      </w:r>
    </w:p>
    <w:p>
      <w:pPr>
        <w:pStyle w:val="Normal"/>
        <w:rPr/>
      </w:pPr>
      <w:r>
        <w:rPr/>
      </w:r>
    </w:p>
    <w:p>
      <w:pPr>
        <w:pStyle w:val="Normal"/>
        <w:rPr>
          <w:shd w:fill="FFFFFF" w:val="clear"/>
        </w:rPr>
      </w:pPr>
      <w:r>
        <w:rPr>
          <w:shd w:fill="FFFFFF" w:val="clear"/>
        </w:rPr>
      </w:r>
    </w:p>
    <w:p>
      <w:pPr>
        <w:pStyle w:val="Normal"/>
        <w:rPr/>
      </w:pPr>
      <w:r>
        <w:rPr>
          <w:rFonts w:cs="Book Antiqua" w:ascii="Book Antiqua" w:hAnsi="Book Antiqua"/>
          <w:b/>
          <w:sz w:val="18"/>
          <w:szCs w:val="18"/>
          <w:shd w:fill="FFFFFF" w:val="clear"/>
        </w:rPr>
        <w:t>Anexos</w:t>
      </w:r>
      <w:r>
        <w:rPr>
          <w:rFonts w:cs="Book Antiqua" w:ascii="Book Antiqua" w:hAnsi="Book Antiqua"/>
          <w:sz w:val="18"/>
          <w:szCs w:val="18"/>
          <w:shd w:fill="FFFFFF" w:val="clear"/>
        </w:rPr>
        <w:t>:</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I – Modelo de Proposta de Preços</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II – Modelo de Declaração de Não Empregar Menor</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III – Modelo Declaração de Inexistência de Fato Impeditivo a Habilitação</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IV – Modelo de Termo de Vistoria</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V – Modelo Declaração de Inexistência no Quadro de Dirigentes da Entidade de Servidores com Vínculos no Poder Público.</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VI – Declaração beneficiária de microempresa Lei 123-2006.</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VII – Declaração de conhecimento do local a ser realizada a serviço</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VIII – Modelo Bonificações e Despesas Indiretas – BDI</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t>Anexo IX – Minuta de Contrato</w:t>
      </w:r>
    </w:p>
    <w:p>
      <w:pPr>
        <w:pStyle w:val="Normal"/>
        <w:rPr>
          <w:rFonts w:ascii="Book Antiqua" w:hAnsi="Book Antiqua" w:cs="Book Antiqua"/>
          <w:sz w:val="18"/>
          <w:szCs w:val="18"/>
          <w:shd w:fill="FFFFFF" w:val="clear"/>
        </w:rPr>
      </w:pPr>
      <w:r>
        <w:rPr>
          <w:rFonts w:cs="Book Antiqua" w:ascii="Book Antiqua" w:hAnsi="Book Antiqua"/>
          <w:sz w:val="18"/>
          <w:szCs w:val="18"/>
          <w:shd w:fill="FFFFFF" w:val="clear"/>
        </w:rPr>
      </w:r>
    </w:p>
    <w:p>
      <w:pPr>
        <w:pStyle w:val="Normal"/>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sz w:val="18"/>
          <w:szCs w:val="18"/>
        </w:rPr>
      </w:pPr>
      <w:r>
        <w:rPr>
          <w:rFonts w:cs="Book Antiqua" w:ascii="Book Antiqua" w:hAnsi="Book Antiqua"/>
          <w:b/>
          <w:sz w:val="18"/>
          <w:szCs w:val="18"/>
        </w:rPr>
      </w:r>
      <w:r>
        <w:br w:type="page"/>
      </w:r>
    </w:p>
    <w:p>
      <w:pPr>
        <w:pStyle w:val="Normal"/>
        <w:numPr>
          <w:ilvl w:val="0"/>
          <w:numId w:val="34"/>
        </w:numPr>
        <w:pBdr>
          <w:top w:val="single" w:sz="4" w:space="1" w:color="000000"/>
          <w:left w:val="single" w:sz="4" w:space="4" w:color="000000"/>
          <w:bottom w:val="single" w:sz="4" w:space="1" w:color="000000"/>
          <w:right w:val="single" w:sz="4" w:space="4" w:color="000000"/>
        </w:pBdr>
        <w:shd w:val="clear" w:color="auto" w:fill="E0E0E0"/>
        <w:tabs>
          <w:tab w:val="clear" w:pos="708"/>
          <w:tab w:val="left" w:pos="0" w:leader="none"/>
          <w:tab w:val="left" w:pos="360" w:leader="none"/>
        </w:tabs>
        <w:ind w:left="0" w:hanging="0"/>
        <w:jc w:val="center"/>
        <w:rPr/>
      </w:pPr>
      <w:r>
        <w:rPr>
          <w:rFonts w:cs="Book Antiqua" w:ascii="Book Antiqua" w:hAnsi="Book Antiqua"/>
          <w:b/>
          <w:sz w:val="18"/>
          <w:szCs w:val="18"/>
        </w:rPr>
        <w:t>DO OBJETO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pPr>
      <w:r>
        <w:rPr>
          <w:rFonts w:cs="Book Antiqua" w:ascii="Book Antiqua" w:hAnsi="Book Antiqua"/>
          <w:sz w:val="18"/>
          <w:szCs w:val="18"/>
        </w:rPr>
        <w:t xml:space="preserve">2.1 o presente projeto básico tem como objeto: </w:t>
      </w:r>
      <w:r>
        <w:rPr>
          <w:rFonts w:cs="Book Antiqua" w:ascii="Book Antiqua" w:hAnsi="Book Antiqua"/>
          <w:b/>
          <w:bCs/>
          <w:sz w:val="18"/>
          <w:szCs w:val="18"/>
          <w:shd w:fill="FFFF00" w:val="clear"/>
        </w:rPr>
        <w:t>CONSTRUÇÃO DA PRAÇA LINEAR IRMÃ BERNADA, LOCALIZADA NA RUA IRMÃ BERNADA, BAIRRO CONJUNTO SÃO JOSÉ, EM RONDONÓPOLIS/MT</w:t>
      </w:r>
      <w:r>
        <w:rPr>
          <w:rFonts w:cs="Book Antiqua" w:ascii="Book Antiqua" w:hAnsi="Book Antiqua"/>
          <w:sz w:val="18"/>
          <w:szCs w:val="18"/>
        </w:rPr>
        <w:t xml:space="preserve">. Conforme projeto Básico e seus anexos.  </w:t>
        <w:tab/>
      </w:r>
    </w:p>
    <w:p>
      <w:pPr>
        <w:pStyle w:val="Normal"/>
        <w:jc w:val="both"/>
        <w:rPr>
          <w:rFonts w:ascii="Book Antiqua" w:hAnsi="Book Antiqua" w:cs="Book Antiqua"/>
          <w:sz w:val="18"/>
          <w:szCs w:val="18"/>
        </w:rPr>
      </w:pPr>
      <w:r>
        <w:rPr>
          <w:rFonts w:cs="Book Antiqua" w:ascii="Book Antiqua" w:hAnsi="Book Antiqua"/>
          <w:sz w:val="18"/>
          <w:szCs w:val="18"/>
        </w:rPr>
      </w:r>
    </w:p>
    <w:p>
      <w:pPr>
        <w:pStyle w:val="Corpodotexto"/>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sz w:val="18"/>
          <w:szCs w:val="18"/>
        </w:rPr>
      </w:pPr>
      <w:r>
        <w:rPr>
          <w:rFonts w:cs="Book Antiqua" w:ascii="Book Antiqua" w:hAnsi="Book Antiqua"/>
          <w:sz w:val="18"/>
          <w:szCs w:val="18"/>
        </w:rPr>
        <w:t>3. DA DATA, HORA E LOCAL DE APRESENTAÇÃO DA DOCUMENTAÇÃO E DA PROPOSTA.</w:t>
      </w:r>
    </w:p>
    <w:p>
      <w:pPr>
        <w:pStyle w:val="Normal"/>
        <w:jc w:val="both"/>
        <w:rPr>
          <w:rFonts w:ascii="Book Antiqua" w:hAnsi="Book Antiqua"/>
          <w:sz w:val="18"/>
          <w:szCs w:val="18"/>
        </w:rPr>
      </w:pPr>
      <w:r>
        <w:rPr>
          <w:rFonts w:ascii="Book Antiqua" w:hAnsi="Book Antiqua"/>
          <w:sz w:val="18"/>
          <w:szCs w:val="18"/>
        </w:rPr>
      </w:r>
    </w:p>
    <w:p>
      <w:pPr>
        <w:pStyle w:val="Standard"/>
        <w:jc w:val="both"/>
        <w:rPr/>
      </w:pPr>
      <w:r>
        <w:rPr>
          <w:rFonts w:eastAsia="Book Antiqua" w:cs="Book Antiqua" w:ascii="Book Antiqua" w:hAnsi="Book Antiqua"/>
          <w:b/>
          <w:sz w:val="18"/>
          <w:szCs w:val="18"/>
        </w:rPr>
        <w:t xml:space="preserve">3.1 – Os fornecedores interessados na presente Concorrência deverão cadastrar, na Plataforma Eletrônica disponível no site da BLL – Bolsa de Licitações e Leilões (www.bllcompras.com), a sua Proposta de Preços Eletrônica, bem como realizar o envio da Documentação de Habilitação prevista nos itens 6.2 a 6.7 deste Edital. O cadastramento e o envio deverão ser efetuados até as </w:t>
      </w:r>
      <w:r>
        <w:rPr>
          <w:rFonts w:eastAsia="Book Antiqua" w:cs="Book Antiqua" w:ascii="Book Antiqua" w:hAnsi="Book Antiqua"/>
          <w:b/>
          <w:bCs/>
          <w:sz w:val="18"/>
          <w:szCs w:val="18"/>
          <w:shd w:fill="FFFF00" w:val="clear"/>
        </w:rPr>
        <w:t>09</w:t>
      </w:r>
      <w:r>
        <w:rPr>
          <w:rFonts w:eastAsia="Book Antiqua" w:cs="Book Antiqua" w:ascii="Book Antiqua" w:hAnsi="Book Antiqua"/>
          <w:b/>
          <w:bCs/>
          <w:sz w:val="18"/>
          <w:szCs w:val="18"/>
          <w:shd w:fill="FFFF00" w:val="clear"/>
        </w:rPr>
        <w:t>h</w:t>
      </w:r>
      <w:r>
        <w:rPr>
          <w:rFonts w:eastAsia="Book Antiqua" w:cs="Book Antiqua" w:ascii="Book Antiqua" w:hAnsi="Book Antiqua"/>
          <w:b/>
          <w:bCs/>
          <w:sz w:val="18"/>
          <w:szCs w:val="18"/>
          <w:shd w:fill="FFFF00" w:val="clear"/>
        </w:rPr>
        <w:t>30</w:t>
      </w:r>
      <w:r>
        <w:rPr>
          <w:rFonts w:eastAsia="Book Antiqua" w:cs="Book Antiqua" w:ascii="Book Antiqua" w:hAnsi="Book Antiqua"/>
          <w:b/>
          <w:sz w:val="18"/>
          <w:szCs w:val="18"/>
          <w:shd w:fill="FFFF00" w:val="clear"/>
        </w:rPr>
        <w:t>min (horário de Brasília) do dia </w:t>
      </w:r>
      <w:r>
        <w:rPr>
          <w:rFonts w:eastAsia="Book Antiqua" w:cs="Book Antiqua" w:ascii="Book Antiqua" w:hAnsi="Book Antiqua"/>
          <w:b/>
          <w:sz w:val="18"/>
          <w:szCs w:val="18"/>
          <w:shd w:fill="FFFF00" w:val="clear"/>
        </w:rPr>
        <w:t>30</w:t>
      </w:r>
      <w:r>
        <w:rPr>
          <w:rFonts w:eastAsia="Book Antiqua" w:cs="Book Antiqua" w:ascii="Book Antiqua" w:hAnsi="Book Antiqua"/>
          <w:b/>
          <w:sz w:val="18"/>
          <w:szCs w:val="18"/>
          <w:shd w:fill="FFFF00" w:val="clear"/>
        </w:rPr>
        <w:t>/</w:t>
      </w:r>
      <w:r>
        <w:rPr>
          <w:rFonts w:eastAsia="Book Antiqua" w:cs="Book Antiqua" w:ascii="Book Antiqua" w:hAnsi="Book Antiqua"/>
          <w:b/>
          <w:sz w:val="18"/>
          <w:szCs w:val="18"/>
          <w:shd w:fill="FFFF00" w:val="clear"/>
        </w:rPr>
        <w:t>07</w:t>
      </w:r>
      <w:r>
        <w:rPr>
          <w:rFonts w:eastAsia="Book Antiqua" w:cs="Book Antiqua" w:ascii="Book Antiqua" w:hAnsi="Book Antiqua"/>
          <w:b/>
          <w:sz w:val="18"/>
          <w:szCs w:val="18"/>
          <w:shd w:fill="FFFF00" w:val="clear"/>
        </w:rPr>
        <w:t>/</w:t>
      </w:r>
      <w:r>
        <w:rPr>
          <w:rFonts w:eastAsia="Book Antiqua" w:cs="Book Antiqua" w:ascii="Book Antiqua" w:hAnsi="Book Antiqua"/>
          <w:b/>
          <w:sz w:val="18"/>
          <w:szCs w:val="18"/>
          <w:shd w:fill="FFFF00" w:val="clear"/>
        </w:rPr>
        <w:t>2026</w:t>
      </w:r>
      <w:r>
        <w:rPr>
          <w:rFonts w:eastAsia="Book Antiqua" w:cs="Book Antiqua" w:ascii="Book Antiqua" w:hAnsi="Book Antiqua"/>
          <w:b/>
          <w:sz w:val="18"/>
          <w:szCs w:val="18"/>
          <w:shd w:fill="FFFF00" w:val="clear"/>
        </w:rPr>
        <w:t>.</w:t>
      </w:r>
    </w:p>
    <w:p>
      <w:pPr>
        <w:pStyle w:val="Standard"/>
        <w:jc w:val="both"/>
        <w:rPr>
          <w:rFonts w:ascii="Book Antiqua" w:hAnsi="Book Antiqua" w:eastAsia="Book Antiqua" w:cs="Book Antiqua"/>
          <w:b/>
          <w:b/>
          <w:sz w:val="18"/>
          <w:szCs w:val="18"/>
        </w:rPr>
      </w:pPr>
      <w:r>
        <w:rPr>
          <w:rFonts w:eastAsia="Book Antiqua" w:cs="Book Antiqua" w:ascii="Book Antiqua" w:hAnsi="Book Antiqua"/>
          <w:b/>
          <w:sz w:val="18"/>
          <w:szCs w:val="18"/>
        </w:rPr>
      </w:r>
    </w:p>
    <w:p>
      <w:pPr>
        <w:pStyle w:val="Standard"/>
        <w:jc w:val="both"/>
        <w:rPr/>
      </w:pPr>
      <w:r>
        <w:rPr>
          <w:rFonts w:eastAsia="Book Antiqua" w:cs="Book Antiqua" w:ascii="Book Antiqua" w:hAnsi="Book Antiqua"/>
          <w:b/>
          <w:sz w:val="18"/>
          <w:szCs w:val="18"/>
        </w:rPr>
        <w:t xml:space="preserve">3.1.1. O início da sessão de disputa das propostas ocorrerá às </w:t>
      </w:r>
      <w:r>
        <w:rPr>
          <w:rFonts w:eastAsia="Book Antiqua" w:cs="Book Antiqua" w:ascii="Book Antiqua" w:hAnsi="Book Antiqua"/>
          <w:b/>
          <w:sz w:val="18"/>
          <w:szCs w:val="18"/>
          <w:shd w:fill="FFFF00" w:val="clear"/>
        </w:rPr>
        <w:t>10</w:t>
      </w:r>
      <w:r>
        <w:rPr>
          <w:rFonts w:eastAsia="Book Antiqua" w:cs="Book Antiqua" w:ascii="Book Antiqua" w:hAnsi="Book Antiqua"/>
          <w:b/>
          <w:sz w:val="18"/>
          <w:szCs w:val="18"/>
          <w:shd w:fill="FFFF00" w:val="clear"/>
        </w:rPr>
        <w:t>h</w:t>
      </w:r>
      <w:r>
        <w:rPr>
          <w:rFonts w:eastAsia="Book Antiqua" w:cs="Book Antiqua" w:ascii="Book Antiqua" w:hAnsi="Book Antiqua"/>
          <w:b/>
          <w:sz w:val="18"/>
          <w:szCs w:val="18"/>
          <w:shd w:fill="FFFF00" w:val="clear"/>
        </w:rPr>
        <w:t>00min.</w:t>
      </w:r>
      <w:r>
        <w:rPr>
          <w:rFonts w:eastAsia="Book Antiqua" w:cs="Book Antiqua" w:ascii="Book Antiqua" w:hAnsi="Book Antiqua"/>
          <w:b/>
          <w:sz w:val="18"/>
          <w:szCs w:val="18"/>
          <w:shd w:fill="FFFF00" w:val="clear"/>
        </w:rPr>
        <w:t xml:space="preserve"> do dia </w:t>
      </w:r>
      <w:r>
        <w:rPr>
          <w:rFonts w:eastAsia="Book Antiqua" w:cs="Book Antiqua" w:ascii="Book Antiqua" w:hAnsi="Book Antiqua"/>
          <w:b/>
          <w:sz w:val="18"/>
          <w:szCs w:val="18"/>
          <w:shd w:fill="FFFF00" w:val="clear"/>
        </w:rPr>
        <w:t>30</w:t>
      </w:r>
      <w:r>
        <w:rPr>
          <w:rFonts w:eastAsia="Book Antiqua" w:cs="Book Antiqua" w:ascii="Book Antiqua" w:hAnsi="Book Antiqua"/>
          <w:b/>
          <w:sz w:val="18"/>
          <w:szCs w:val="18"/>
          <w:shd w:fill="FFFF00" w:val="clear"/>
        </w:rPr>
        <w:t>/</w:t>
      </w:r>
      <w:r>
        <w:rPr>
          <w:rFonts w:eastAsia="Book Antiqua" w:cs="Book Antiqua" w:ascii="Book Antiqua" w:hAnsi="Book Antiqua"/>
          <w:b/>
          <w:sz w:val="18"/>
          <w:szCs w:val="18"/>
          <w:shd w:fill="FFFF00" w:val="clear"/>
        </w:rPr>
        <w:t>07</w:t>
      </w:r>
      <w:r>
        <w:rPr>
          <w:rFonts w:eastAsia="Book Antiqua" w:cs="Book Antiqua" w:ascii="Book Antiqua" w:hAnsi="Book Antiqua"/>
          <w:b/>
          <w:sz w:val="18"/>
          <w:szCs w:val="18"/>
          <w:shd w:fill="FFFF00" w:val="clear"/>
        </w:rPr>
        <w:t>/</w:t>
      </w:r>
      <w:r>
        <w:rPr>
          <w:rFonts w:eastAsia="Book Antiqua" w:cs="Book Antiqua" w:ascii="Book Antiqua" w:hAnsi="Book Antiqua"/>
          <w:b/>
          <w:sz w:val="18"/>
          <w:szCs w:val="18"/>
          <w:shd w:fill="FFFF00" w:val="clear"/>
        </w:rPr>
        <w:t>2026</w:t>
      </w:r>
      <w:r>
        <w:rPr>
          <w:rFonts w:eastAsia="Book Antiqua" w:cs="Book Antiqua" w:ascii="Book Antiqua" w:hAnsi="Book Antiqua"/>
          <w:b/>
          <w:sz w:val="18"/>
          <w:szCs w:val="18"/>
          <w:shd w:fill="FFFF00" w:val="clear"/>
        </w:rPr>
        <w:t xml:space="preserve"> (horário de Brasília).</w:t>
      </w:r>
    </w:p>
    <w:p>
      <w:pPr>
        <w:pStyle w:val="Standard"/>
        <w:jc w:val="both"/>
        <w:rPr>
          <w:rFonts w:ascii="Book Antiqua" w:hAnsi="Book Antiqua"/>
          <w:sz w:val="18"/>
          <w:szCs w:val="18"/>
        </w:rPr>
      </w:pPr>
      <w:r>
        <w:rPr>
          <w:rFonts w:ascii="Book Antiqua" w:hAnsi="Book Antiqua"/>
          <w:sz w:val="18"/>
          <w:szCs w:val="18"/>
        </w:rPr>
      </w:r>
    </w:p>
    <w:p>
      <w:pPr>
        <w:pStyle w:val="Standard"/>
        <w:jc w:val="both"/>
        <w:rPr/>
      </w:pPr>
      <w:r>
        <w:rPr>
          <w:rFonts w:eastAsia="Book Antiqua" w:cs="Book Antiqua" w:ascii="Book Antiqua" w:hAnsi="Book Antiqua"/>
          <w:sz w:val="18"/>
          <w:szCs w:val="18"/>
        </w:rPr>
        <w:t xml:space="preserve">3.2 – A </w:t>
      </w:r>
      <w:r>
        <w:rPr>
          <w:rFonts w:eastAsia="Book Antiqua" w:cs="Book Antiqua" w:ascii="Book Antiqua" w:hAnsi="Book Antiqua"/>
          <w:b/>
          <w:sz w:val="18"/>
          <w:szCs w:val="18"/>
        </w:rPr>
        <w:t xml:space="preserve">PREFEITURA MUNICIPAL DE RONDONÓPOLIS/MT e o Agente de Contratação </w:t>
      </w:r>
      <w:r>
        <w:rPr>
          <w:rFonts w:eastAsia="Book Antiqua" w:cs="Book Antiqua" w:ascii="Book Antiqua" w:hAnsi="Book Antiqua"/>
          <w:sz w:val="18"/>
          <w:szCs w:val="18"/>
        </w:rPr>
        <w:t>não se responsabilizará por documentação e proposta que porventura não forem cadastradas como determinados no item 3.1 deste Edital.</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3.3– Não havendo expediente na data marcada, será definida nova data para abertura da sessão, a ser publicada e divulgada nos portais e sítios oficiais da Prefeitura Municipal de Rondonópolis.</w:t>
      </w:r>
    </w:p>
    <w:p>
      <w:pPr>
        <w:pStyle w:val="Standard"/>
        <w:jc w:val="both"/>
        <w:rPr>
          <w:rFonts w:ascii="Book Antiqua" w:hAnsi="Book Antiqua"/>
          <w:b/>
          <w:b/>
          <w:bCs/>
          <w:sz w:val="18"/>
          <w:szCs w:val="18"/>
        </w:rPr>
      </w:pPr>
      <w:r>
        <w:rPr>
          <w:rFonts w:ascii="Book Antiqua" w:hAnsi="Book Antiqua"/>
          <w:b/>
          <w:bCs/>
          <w:sz w:val="18"/>
          <w:szCs w:val="18"/>
        </w:rPr>
      </w:r>
    </w:p>
    <w:p>
      <w:pPr>
        <w:pStyle w:val="Standard"/>
        <w:jc w:val="both"/>
        <w:rPr>
          <w:rFonts w:ascii="Book Antiqua" w:hAnsi="Book Antiqua" w:cs="Book Antiqua"/>
          <w:sz w:val="18"/>
          <w:szCs w:val="18"/>
        </w:rPr>
      </w:pPr>
      <w:r>
        <w:rPr>
          <w:rFonts w:eastAsia="Book Antiqua" w:cs="Book Antiqua" w:ascii="Book Antiqua" w:hAnsi="Book Antiqua"/>
          <w:b/>
          <w:sz w:val="18"/>
          <w:szCs w:val="18"/>
          <w:shd w:fill="FFFF00" w:val="clear"/>
        </w:rPr>
        <w:t>3.4 – Não serão aceitos e considerados documentos apresentados em desconformidade as condições definidas neste Edital.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4. DAS CONDIÇÕES DE PARTICIPAÇÃO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4.1 – Somente poderão participar desta licitação os interessados que atenderem a todas as exigências constantes deste Edital e seus anexos, bem como quanto à documentação mencionada nos artigos 62 a 65 da Lei de Licitações e Contratos Administrativos nº 14.133, de 1º de abril de 2021, e que o objeto do contrato social seja </w:t>
      </w:r>
      <w:r>
        <w:rPr>
          <w:rFonts w:cs="Book Antiqua" w:ascii="Book Antiqua" w:hAnsi="Book Antiqua"/>
          <w:sz w:val="18"/>
          <w:szCs w:val="18"/>
          <w:shd w:fill="FFFFFF" w:val="clear"/>
        </w:rPr>
        <w:t>compatível com o objeto da licitação.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4.2 – </w:t>
      </w:r>
      <w:r>
        <w:rPr>
          <w:rFonts w:cs="Book Antiqua" w:ascii="Book Antiqua" w:hAnsi="Book Antiqua"/>
          <w:sz w:val="18"/>
          <w:szCs w:val="18"/>
          <w:u w:val="single"/>
        </w:rPr>
        <w:t>Não poderão participar desta licitação</w:t>
      </w:r>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4.2.1 – empresas sob processo de falência;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4.2.2 – </w:t>
      </w:r>
      <w:bookmarkStart w:id="0" w:name="_Hlk110935937"/>
      <w:r>
        <w:rPr>
          <w:rFonts w:cs="Book Antiqua" w:ascii="Book Antiqua" w:hAnsi="Book Antiqua"/>
          <w:sz w:val="18"/>
          <w:szCs w:val="18"/>
          <w:shd w:fill="FFFFFF" w:val="clear"/>
        </w:rPr>
        <w:t>empresa, isoladamente ou em consórcio, responsável pela elaboração do Estudo Técnico Preliminar – ETP, Projeto Básico ou da qual o autor do projeto seja dirigente, gerente, acionista ou detentor de mais de 5% (cinco por cento) do capital com direito a voto ou controlador, responsável técnico ou subcontratado</w:t>
      </w:r>
      <w:bookmarkEnd w:id="0"/>
      <w:r>
        <w:rPr>
          <w:rFonts w:cs="Book Antiqua" w:ascii="Book Antiqua" w:hAnsi="Book Antiqua"/>
          <w:sz w:val="18"/>
          <w:szCs w:val="18"/>
          <w:shd w:fill="FFFFFF" w:val="clear"/>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4.2.3 – servidor ou dirigente de órgão ou entidade contratante.</w:t>
      </w:r>
    </w:p>
    <w:p>
      <w:pPr>
        <w:pStyle w:val="Default"/>
        <w:jc w:val="both"/>
        <w:rPr>
          <w:rFonts w:ascii="Book Antiqua" w:hAnsi="Book Antiqua" w:cs="Book Antiqua"/>
          <w:sz w:val="18"/>
          <w:szCs w:val="18"/>
        </w:rPr>
      </w:pPr>
      <w:r>
        <w:rPr>
          <w:rFonts w:cs="Book Antiqua" w:ascii="Book Antiqua" w:hAnsi="Book Antiqua"/>
          <w:sz w:val="18"/>
          <w:szCs w:val="18"/>
        </w:rPr>
      </w:r>
    </w:p>
    <w:p>
      <w:pPr>
        <w:pStyle w:val="Default"/>
        <w:jc w:val="both"/>
        <w:rPr/>
      </w:pPr>
      <w:r>
        <w:rPr>
          <w:rFonts w:cs="Book Antiqua" w:ascii="Book Antiqua" w:hAnsi="Book Antiqua"/>
          <w:sz w:val="18"/>
          <w:szCs w:val="18"/>
        </w:rPr>
        <w:t xml:space="preserve">4.2.4 – empresas que, na data designada para a apresentação da documentação e das propostas, estejam suspensas de participar de licitações e/ou impedidas de contratar com a Administração, ou tenham sido declaradas inidôneas por qualquer órgão da Administração Pública </w:t>
      </w:r>
      <w:r>
        <w:rPr>
          <w:rFonts w:eastAsia="SimSun;???????????????????????" w:cs="Book Antiqua" w:ascii="Book Antiqua" w:hAnsi="Book Antiqua"/>
          <w:sz w:val="18"/>
          <w:szCs w:val="18"/>
        </w:rPr>
        <w:t>direta ou indireta, federal, estadual, municipal ou do Distrito Federal</w:t>
      </w:r>
      <w:r>
        <w:rPr>
          <w:rFonts w:cs="Book Antiqua" w:ascii="Book Antiqua" w:hAnsi="Book Antiqua"/>
          <w:sz w:val="18"/>
          <w:szCs w:val="18"/>
        </w:rPr>
        <w:t>, não tendo sido ainda reabilitadas.</w:t>
      </w:r>
    </w:p>
    <w:p>
      <w:pPr>
        <w:pStyle w:val="Default"/>
        <w:jc w:val="both"/>
        <w:rPr>
          <w:rFonts w:ascii="Book Antiqua" w:hAnsi="Book Antiqua" w:cs="Book Antiqua"/>
          <w:sz w:val="18"/>
          <w:szCs w:val="18"/>
        </w:rPr>
      </w:pPr>
      <w:r>
        <w:rPr>
          <w:rFonts w:cs="Book Antiqua" w:ascii="Book Antiqua" w:hAnsi="Book Antiqua"/>
          <w:sz w:val="18"/>
          <w:szCs w:val="18"/>
        </w:rPr>
      </w:r>
    </w:p>
    <w:p>
      <w:pPr>
        <w:pStyle w:val="Default"/>
        <w:jc w:val="both"/>
        <w:rPr>
          <w:rFonts w:ascii="Book Antiqua" w:hAnsi="Book Antiqua" w:cs="Book Antiqua"/>
          <w:sz w:val="18"/>
          <w:szCs w:val="18"/>
        </w:rPr>
      </w:pPr>
      <w:r>
        <w:rPr>
          <w:rFonts w:cs="Book Antiqua" w:ascii="Book Antiqua" w:hAnsi="Book Antiqua"/>
          <w:sz w:val="18"/>
          <w:szCs w:val="18"/>
        </w:rPr>
        <w:t>4.2.5 – empresas controladoras, controladas ou coligadas, nos termos da Lei nº 6.404, de 15 de dezembro de 1976, concorrendo entre si.</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4.3 – Toda e qualquer documentação emitida pela empresa deverá ser datada e assinada por seus(s) representante(s) legal (is), devidamente qualificado(s) e comprovado(s).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4.4. - Os documentos necessários à habilitação poderão ser apresentados em original, cópia autenticada em cartório competente, por publicação em órgão da imprensa oficial </w:t>
      </w:r>
      <w:r>
        <w:rPr>
          <w:rFonts w:cs="Book Antiqua" w:ascii="Book Antiqua" w:hAnsi="Book Antiqua"/>
          <w:b/>
          <w:sz w:val="18"/>
          <w:szCs w:val="18"/>
        </w:rPr>
        <w:t>ou por cópias que possam ser conferidas pelo Agente de Contratação.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4.4.1 – O </w:t>
      </w:r>
      <w:r>
        <w:rPr>
          <w:rStyle w:val="Manoel"/>
          <w:rFonts w:cs="Book Antiqua" w:ascii="Book Antiqua" w:hAnsi="Book Antiqua"/>
          <w:color w:val="000000"/>
          <w:sz w:val="18"/>
          <w:szCs w:val="18"/>
        </w:rPr>
        <w:t>Agente de Contratação poderá verificar a autenticidades apresentados como</w:t>
      </w:r>
      <w:r>
        <w:rPr>
          <w:rFonts w:cs="Book Antiqua" w:ascii="Book Antiqua" w:hAnsi="Book Antiqua"/>
          <w:sz w:val="18"/>
          <w:szCs w:val="18"/>
        </w:rPr>
        <w:t xml:space="preserve"> cópia de documentos originais, exceto aqueles natos digitais que sua autenticidade possa ser validada pelos sítios oficiais ou aqueles autenticados em cartório.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4.4.2 – Os documentos assinados digitalmente deverão estar acompanhados da devida cédula de autenticidade ou outro documento equivalente que permita a conferência de autenticidade por parte do Agente de Contratação.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4.5 – A avaliação prévia do local de execução dos serviços é imprescindível para o conhecimento pleno das condições e peculiaridades do objeto a ser contratado, sendo assegurado ao interessado o direito de realização da vistoria prévia; e para o correto dimensionamento e elaboração de sua proposta, a LICITANTE poderá realizar a vistoria nos trechos de execução dos serviços, em períodos a serem definidos pela Administração Pública Municipal, sendo acompanhadas por um servidor da mesma unidade que certificará a visita, expedindo o Atestado de Visita, que contenha as informações técnicas das obras (art. 63 da Lei n 14.133/2021).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4.5.1 – O prazo para a visita ao local onde será realizado o serviço, objeto deste edital, iniciar-se-á no primeiro dia útil seguinte a publicação do edital, estendendo-se até o dia útil anterior à data prevista para a abertura da sessão. Para a vistoria o representante legal deverá estar devidamente identificado, apresentando documento de identificação civil e documento expedido pela empresa, comprovando sua habilitação para a realização da vistoria.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4.5.2. Cumpre mencionar que não existe a obrigatoriedade da vistoria e caso a LICITANTE não queira participar da visita, deverá apresentar, em substituição ao atestado de visita, uma declaração formal assinada pelo responsável técnico, sob penalidade da lei, informando que tem pleno conhecimento das condições e peculiaridades inerentes à natureza dos trabalhos, assumindo portanto, total responsabilidade por esse fato e que não utilizará deste para efetuar quaisquer questionamentos futuros que possam ensejar avenças técnicas ou financeiras com o Município de Rondonópolis, qual será juntada a documentação de habilitação, nos termos do inciso VI do Art. 67 da Lei n 14.133/2021.</w:t>
      </w:r>
    </w:p>
    <w:p>
      <w:pPr>
        <w:pStyle w:val="Normal"/>
        <w:ind w:left="567" w:hanging="0"/>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4.5.3. Caso a licitante deixe de realizar a vistoria técnica (item 4.5); ou, apresente ou não a declaração de declínio de visita técnica nos termos do anexo VII (item 4.5.2), a Prefeitura Municipal de Rondonópolis-MT restará isenta de qualquer responsabilidade decorrente do desconhecimento da licitante relativamente às condições físicas do local da execução do serviço.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4.6. O </w:t>
      </w:r>
      <w:r>
        <w:rPr>
          <w:rStyle w:val="Manoel"/>
          <w:rFonts w:cs="Book Antiqua" w:ascii="Book Antiqua" w:hAnsi="Book Antiqua"/>
          <w:color w:val="000000"/>
          <w:sz w:val="18"/>
          <w:szCs w:val="18"/>
        </w:rPr>
        <w:t>Agente de Contratação</w:t>
      </w:r>
      <w:r>
        <w:rPr>
          <w:rFonts w:cs="Book Antiqua" w:ascii="Book Antiqua" w:hAnsi="Book Antiqua"/>
          <w:sz w:val="18"/>
          <w:szCs w:val="18"/>
        </w:rPr>
        <w:t xml:space="preserve"> verificará o eventual descumprimento das condições de participação, especialmente quanto à existência de sanção que impeça a participação no certame ou a futura contratação, mediante a consulta aos seguintes cadastros: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a) Cadastro Nacional de Empresas Inidôneas e Suspensas – CEIS, mantido pela Controladoria Geral da União – (</w:t>
      </w:r>
      <w:hyperlink r:id="rId3" w:tgtFrame="_top">
        <w:r>
          <w:rPr>
            <w:rStyle w:val="LinkdaInternet"/>
            <w:rFonts w:cs="Book Antiqua" w:ascii="Book Antiqua" w:hAnsi="Book Antiqua"/>
            <w:sz w:val="18"/>
            <w:szCs w:val="18"/>
          </w:rPr>
          <w:t>www.portaldatransparencia.gov.br/ceis</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b) Cadastro Nacional de Condenações Cíveis por Atos de Improbidade Administrativa, mantido pelo Conselho Nacional de Justiça – (</w:t>
      </w:r>
      <w:hyperlink r:id="rId4" w:tgtFrame="_top">
        <w:r>
          <w:rPr>
            <w:rStyle w:val="LinkdaInternet"/>
            <w:rFonts w:cs="Book Antiqua" w:ascii="Book Antiqua" w:hAnsi="Book Antiqua"/>
            <w:sz w:val="18"/>
            <w:szCs w:val="18"/>
          </w:rPr>
          <w:t>www.cnj.jus.br/improbidade_adm/consultar_requerido.php</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c) Lista de Inidôneos, mantida pelo Tribunal de Contas da União – TCU – (</w:t>
      </w:r>
      <w:hyperlink r:id="rId5" w:tgtFrame="_top">
        <w:r>
          <w:rPr>
            <w:rStyle w:val="LinkdaInternet"/>
            <w:rFonts w:cs="Book Antiqua" w:ascii="Book Antiqua" w:hAnsi="Book Antiqua"/>
            <w:sz w:val="18"/>
            <w:szCs w:val="18"/>
          </w:rPr>
          <w:t>https://certidoesapf.apps.tcu.gov.br/</w:t>
        </w:r>
      </w:hyperlink>
      <w:r>
        <w:rPr>
          <w:rFonts w:cs="Book Antiqua"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4.7 Será admitida a participação de pessoa jurídica reunida em consórcio, devendo o consórcio se submeter as regras estabelecidas no inciso I a V do art. 15 §1º da Lei 14.133 de 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4.7.1 Fica estabelecido para o consórcio o acréscimo de 10% (dez por cento) sobre o valor exigido de licitante individual para habilitação Econômico-Financeira elencada no item 6.3.3 do edital, conforme previsão no Art. 15º § 1º da Lei 14.133 de 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5. DO CREDENCIAMENTO</w:t>
      </w:r>
    </w:p>
    <w:p>
      <w:pPr>
        <w:pStyle w:val="Normal"/>
        <w:jc w:val="both"/>
        <w:rPr>
          <w:rFonts w:ascii="Book Antiqua" w:hAnsi="Book Antiqua" w:cs="Book Antiqua"/>
          <w:sz w:val="18"/>
          <w:szCs w:val="18"/>
        </w:rPr>
      </w:pPr>
      <w:r>
        <w:rPr>
          <w:rFonts w:cs="Book Antiqua"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5.1. Para participar da Concorrência Eletrônica ou apenas acompanhá-la, o interessado deverá acessar a página da internet www.bllcompras.com, onde se encontra o link para o “Acesso Identificado”. O licitante deverá possuir chave de identificação e senha pessoal e intransferível, obtidas junto à BLL – Bolsa de Licitações e Leilões, responsável pelo provimento da plataforma eletrônica.</w:t>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br/>
        <w:t>5.2. As propostas comerciais e os documentos de habilitação deverão ser cadastrados no sistema eletrônico até meia hora antes do horário estabelecido no preâmbulo deste Edital (horário de Brasília), por meio do endereço eletrônico www.bllcompras.com, no campo “Acesso Identificado”. O sistema permitirá o cadastro, substituição ou retirada de propostas até o limite do prazo estabelecido.</w:t>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br/>
        <w:t>5.2.1. Eventuais dúvidas sobre o procedimento de credenciamento, obtenção de senha de acesso ou dificuldades técnicas durante o envio das propostas deverão ser tratadas diretamente com a BLL, pelos telefones (41) 3097-4600, 3097-4623, 3097-4646 ou 3148-9870, sendo de inteira responsabilidade do licitante a resolução de problemas de acesso ou operação do sistema.</w:t>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br/>
        <w:t>5.3. A chave de identificação e a senha poderão ser utilizadas em qualquer procedimento licitatório realizado por meio da plataforma BLL Compras, salvo em caso de cancelamento por solicitação do credenciado ou por iniciativa da própria BLL, devidamente justificada.</w:t>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br/>
        <w:t>5.4. É de exclusiva responsabilidade do usuário o sigilo e uso da senha, bem como as transações realizadas no sistema, direta ou indiretamente. A Prefeitura Municipal de Rondonópolis-MT e/ou a BLL não se responsabilizam por eventuais danos decorrentes de uso indevido da senha, ainda que por terceiros.</w:t>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br/>
        <w:t>5.5. Como requisito para participação nesta Concorrência Eletrônica, o licitante deverá manifestar, em campo próprio do sistema BLL, que sua proposta atende integralmente às exigências do edital e que cumpre os requisitos de habilitação, ressalvadas as disposições aplicáveis às microempresas e empresas de pequeno porte, nos termos da Lei Complementar nº 123/2006, com as alterações da Lei Complementar nº 147/2014, quando for o caso;</w:t>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br/>
        <w:t>5.5.1. As microempresas (ME) e as empresas de pequeno porte (EPP) que desejarem usufruir dos benefícios previstos na Lei Complementar nº 123/2006, alterada pela Lei Complementar nº 147/2014, deverão, no ato do credenciamento, identificar-se expressamente no sistema eletrônico como “Microempresa”, “Empresa de Pequeno Porte” ou mediante suas respectivas abreviações “ME” ou “EPP”.É de responsabilidade exclusiva da licitante manter atualizado o seu cadastro junto à plataforma BLL, inclusive quanto ao enquadramento societário.</w:t>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br/>
        <w:t>5.5.2. É vedado a qualquer credenciado representar mais de uma empresa proponente no certame, exceto nos casos em que as representações se refiram a itens ou lotes distintos, devidamente justificados e aceitos pela equipe de Licitação.</w:t>
      </w:r>
    </w:p>
    <w:p>
      <w:pPr>
        <w:pStyle w:val="Corpodetexto22"/>
        <w:rPr>
          <w:rFonts w:ascii="Book Antiqua" w:hAnsi="Book Antiqua"/>
          <w:sz w:val="18"/>
          <w:szCs w:val="18"/>
        </w:rPr>
      </w:pPr>
      <w:r>
        <w:rPr>
          <w:rFonts w:ascii="Book Antiqua" w:hAnsi="Book Antiqua"/>
          <w:sz w:val="18"/>
          <w:szCs w:val="18"/>
        </w:rPr>
      </w:r>
    </w:p>
    <w:p>
      <w:pPr>
        <w:pStyle w:val="Corpodetexto22"/>
        <w:rPr>
          <w:rFonts w:ascii="Arial" w:hAnsi="Arial" w:cs="Arial"/>
        </w:rPr>
      </w:pPr>
      <w:r>
        <w:rPr>
          <w:rFonts w:cs="Arial" w:ascii="Arial" w:hAnsi="Arial"/>
        </w:rPr>
      </w:r>
    </w:p>
    <w:p>
      <w:pPr>
        <w:pStyle w:val="Normal"/>
        <w:pBdr>
          <w:top w:val="single" w:sz="4" w:space="0" w:color="000000"/>
          <w:left w:val="single" w:sz="4" w:space="0" w:color="000000"/>
          <w:bottom w:val="single" w:sz="4" w:space="0" w:color="000000"/>
          <w:right w:val="single" w:sz="4" w:space="0" w:color="000000"/>
        </w:pBdr>
        <w:shd w:val="clear" w:color="auto" w:fill="E0E0E0"/>
        <w:jc w:val="center"/>
        <w:rPr>
          <w:b/>
          <w:b/>
        </w:rPr>
      </w:pPr>
      <w:r>
        <w:rPr>
          <w:b/>
        </w:rPr>
        <w:t>5.6 BENEFICIÁRIO DA LEI Nº 123/2006</w:t>
      </w:r>
    </w:p>
    <w:p>
      <w:pPr>
        <w:pStyle w:val="Standard"/>
        <w:jc w:val="both"/>
        <w:rPr>
          <w:rFonts w:cs="Liberation Serif"/>
        </w:rPr>
      </w:pPr>
      <w:r>
        <w:rPr>
          <w:rFonts w:cs="Liberation Serif"/>
        </w:rPr>
      </w:r>
    </w:p>
    <w:p>
      <w:pPr>
        <w:pStyle w:val="Standard"/>
        <w:jc w:val="both"/>
        <w:rPr>
          <w:rFonts w:cs="Liberation Serif"/>
        </w:rPr>
      </w:pPr>
      <w:r>
        <w:rPr>
          <w:rFonts w:cs="Times New Roman" w:ascii="Times New Roman" w:hAnsi="Times New Roman"/>
          <w:sz w:val="20"/>
          <w:szCs w:val="20"/>
        </w:rPr>
        <w:t>5.6.1 Para as microempresas e empresas de pequeno porte, havendo alguma restrição na comprovação de regularidade fiscal e trabalhista, será assegurado o prazo de 05 (cinco) dias úteis, cujo termo inicial corresponderá ao momento em que o proponente for declarado vencedor do certame, prorrogável por igual período, a critério da administração pública, para regularização da documentação, para pagamento ou parcelamento do débito e para emissão de eventuais certidões negativas ou positivas com efeito de certidão negativa.</w:t>
      </w:r>
    </w:p>
    <w:p>
      <w:pPr>
        <w:pStyle w:val="Standard"/>
        <w:jc w:val="both"/>
        <w:rPr>
          <w:rFonts w:cs="Liberation Serif"/>
        </w:rPr>
      </w:pPr>
      <w:r>
        <w:rPr>
          <w:rFonts w:cs="Liberation Serif"/>
        </w:rPr>
      </w:r>
    </w:p>
    <w:p>
      <w:pPr>
        <w:pStyle w:val="Standard"/>
        <w:jc w:val="both"/>
        <w:rPr>
          <w:rFonts w:ascii="Times New Roman" w:hAnsi="Times New Roman" w:cs="Times New Roman"/>
          <w:sz w:val="20"/>
          <w:szCs w:val="20"/>
        </w:rPr>
      </w:pPr>
      <w:r>
        <w:rPr>
          <w:rFonts w:cs="Times New Roman" w:ascii="Times New Roman" w:hAnsi="Times New Roman"/>
          <w:sz w:val="20"/>
          <w:szCs w:val="20"/>
        </w:rPr>
        <w:t>5.6.1.1. A não regularização da documentação no prazo previsto no item 5.6.1, implicará a inabilitação da ME ou EPP.</w:t>
      </w:r>
    </w:p>
    <w:p>
      <w:pPr>
        <w:pStyle w:val="Standard"/>
        <w:jc w:val="both"/>
        <w:rPr>
          <w:rFonts w:cs="Liberation Serif"/>
        </w:rPr>
      </w:pPr>
      <w:r>
        <w:rPr>
          <w:rFonts w:cs="Liberation Serif"/>
        </w:rPr>
      </w:r>
    </w:p>
    <w:p>
      <w:pPr>
        <w:pStyle w:val="Standard"/>
        <w:jc w:val="both"/>
        <w:rPr>
          <w:rFonts w:ascii="Times New Roman" w:hAnsi="Times New Roman" w:cs="Times New Roman"/>
          <w:sz w:val="20"/>
          <w:szCs w:val="20"/>
        </w:rPr>
      </w:pPr>
      <w:r>
        <w:rPr>
          <w:rFonts w:cs="Times New Roman" w:ascii="Times New Roman" w:hAnsi="Times New Roman"/>
          <w:sz w:val="20"/>
          <w:szCs w:val="20"/>
        </w:rPr>
        <w:t>5.6.1.2. Ocorrendo a hipótese contida no item 5.6.1, o juízo de habilitação referente às microempresas ou empresas de pequeno porte será suspenso até a apresentação da documentação necessária.</w:t>
      </w:r>
    </w:p>
    <w:p>
      <w:pPr>
        <w:pStyle w:val="Standard"/>
        <w:jc w:val="both"/>
        <w:rPr>
          <w:rFonts w:ascii="Book Antiqua" w:hAnsi="Book Antiqua" w:cs="Book Antiqua"/>
          <w:sz w:val="18"/>
          <w:szCs w:val="18"/>
          <w:shd w:fill="CCCCCC" w:val="clear"/>
        </w:rPr>
      </w:pPr>
      <w:r>
        <w:rPr>
          <w:rFonts w:cs="Book Antiqua" w:ascii="Book Antiqua" w:hAnsi="Book Antiqua"/>
          <w:sz w:val="18"/>
          <w:szCs w:val="18"/>
          <w:shd w:fill="CCCCCC" w:val="clear"/>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6. DA APRESENTAÇÃO DAS PROPOSTAS DE PREÇOS e DOCUMENTOS DE HABILITAÇÃO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 – A Licitante deverá encaminhar as propostas de preço, concomitantemente com os documentos de habilitação exigidos neste Edital, exclusivamente por meio do sistema eletrônico, até a data e horário marcados para abertura da sessão pública, quando então encerrar-se-á automaticamente a fase de recebimento de propostas e dos documentos de habilitação. O prazo fixado para a apresentação dos documentos de habilitação e das propostas não será inferior a 35 (trinta e cinco) dias úteis, contados da data de publicação do aviso do edital.</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6.1.2-No cadastramento da proposta inicial, o licitante declarará, em campo próprio do sistema, que:</w:t>
      </w:r>
    </w:p>
    <w:p>
      <w:pPr>
        <w:pStyle w:val="Standard"/>
        <w:jc w:val="both"/>
        <w:rPr>
          <w:rFonts w:ascii="Book Antiqua" w:hAnsi="Book Antiqua"/>
          <w:sz w:val="18"/>
          <w:szCs w:val="18"/>
        </w:rPr>
      </w:pPr>
      <w:r>
        <w:rPr>
          <w:rFonts w:ascii="Book Antiqua" w:hAnsi="Book Antiqua"/>
          <w:sz w:val="18"/>
          <w:szCs w:val="18"/>
        </w:rPr>
      </w:r>
    </w:p>
    <w:p>
      <w:pPr>
        <w:pStyle w:val="Standard"/>
        <w:numPr>
          <w:ilvl w:val="0"/>
          <w:numId w:val="2"/>
        </w:numPr>
        <w:jc w:val="both"/>
        <w:rPr/>
      </w:pPr>
      <w:r>
        <w:rPr>
          <w:rFonts w:eastAsia="Book Antiqua" w:cs="Book Antiqua" w:ascii="Book Antiqua" w:hAnsi="Book Antiqua"/>
          <w:sz w:val="18"/>
          <w:szCs w:val="18"/>
        </w:rPr>
        <w:t>Estar ciente e concordar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condutas vigentes na data de sua entrega em definitivo e que cumpre plenamente os requisitos de habilitação definidos no instrumento convocatório;</w:t>
      </w:r>
    </w:p>
    <w:p>
      <w:pPr>
        <w:pStyle w:val="Standard"/>
        <w:jc w:val="both"/>
        <w:rPr>
          <w:rFonts w:ascii="Book Antiqua" w:hAnsi="Book Antiqua"/>
          <w:sz w:val="18"/>
          <w:szCs w:val="18"/>
        </w:rPr>
      </w:pPr>
      <w:r>
        <w:rPr>
          <w:rFonts w:ascii="Book Antiqua" w:hAnsi="Book Antiqua"/>
          <w:sz w:val="18"/>
          <w:szCs w:val="18"/>
        </w:rPr>
      </w:r>
    </w:p>
    <w:p>
      <w:pPr>
        <w:pStyle w:val="Standard"/>
        <w:numPr>
          <w:ilvl w:val="0"/>
          <w:numId w:val="35"/>
        </w:numPr>
        <w:jc w:val="both"/>
        <w:rPr>
          <w:rFonts w:ascii="Book Antiqua" w:hAnsi="Book Antiqua" w:eastAsia="Book Antiqua" w:cs="Book Antiqua"/>
          <w:sz w:val="18"/>
          <w:szCs w:val="18"/>
        </w:rPr>
      </w:pPr>
      <w:r>
        <w:rPr>
          <w:rFonts w:eastAsia="Book Antiqua" w:cs="Book Antiqua" w:ascii="Book Antiqua" w:hAnsi="Book Antiqua"/>
          <w:sz w:val="18"/>
          <w:szCs w:val="18"/>
        </w:rPr>
        <w:t>Não emprega menor de 18 anos em trabalho noturno, perigoso ou insalubre e não emprega menor de 16 anos, salvo menor, a partir de 14 anos, na condição de aprendiz, nos termos do artigo 7°, XXXIII, da Constituição;</w:t>
      </w:r>
    </w:p>
    <w:p>
      <w:pPr>
        <w:pStyle w:val="Standard"/>
        <w:jc w:val="both"/>
        <w:rPr>
          <w:rFonts w:ascii="Book Antiqua" w:hAnsi="Book Antiqua"/>
          <w:sz w:val="18"/>
          <w:szCs w:val="18"/>
        </w:rPr>
      </w:pPr>
      <w:r>
        <w:rPr>
          <w:rFonts w:ascii="Book Antiqua" w:hAnsi="Book Antiqua"/>
          <w:sz w:val="18"/>
          <w:szCs w:val="18"/>
        </w:rPr>
      </w:r>
    </w:p>
    <w:p>
      <w:pPr>
        <w:pStyle w:val="Standard"/>
        <w:numPr>
          <w:ilvl w:val="0"/>
          <w:numId w:val="36"/>
        </w:numPr>
        <w:jc w:val="both"/>
        <w:rPr>
          <w:rFonts w:ascii="Book Antiqua" w:hAnsi="Book Antiqua" w:eastAsia="Book Antiqua" w:cs="Book Antiqua"/>
          <w:sz w:val="18"/>
          <w:szCs w:val="18"/>
        </w:rPr>
      </w:pPr>
      <w:r>
        <w:rPr>
          <w:rFonts w:eastAsia="Book Antiqua" w:cs="Book Antiqua" w:ascii="Book Antiqua" w:hAnsi="Book Antiqua"/>
          <w:sz w:val="18"/>
          <w:szCs w:val="18"/>
        </w:rPr>
        <w:t>Não possui, em sua cadeia produtiva, empregados executando trabalho degradante ou forçado, observando o disposto nos incisos III e IV do art. 1º e no inciso III do art. 5º da Constituição Federal;</w:t>
      </w:r>
    </w:p>
    <w:p>
      <w:pPr>
        <w:pStyle w:val="Standard"/>
        <w:jc w:val="both"/>
        <w:rPr>
          <w:rFonts w:ascii="Book Antiqua" w:hAnsi="Book Antiqua"/>
          <w:sz w:val="18"/>
          <w:szCs w:val="18"/>
        </w:rPr>
      </w:pPr>
      <w:r>
        <w:rPr>
          <w:rFonts w:ascii="Book Antiqua" w:hAnsi="Book Antiqua"/>
          <w:sz w:val="18"/>
          <w:szCs w:val="18"/>
        </w:rPr>
      </w:r>
    </w:p>
    <w:p>
      <w:pPr>
        <w:pStyle w:val="Standard"/>
        <w:numPr>
          <w:ilvl w:val="0"/>
          <w:numId w:val="37"/>
        </w:numPr>
        <w:jc w:val="both"/>
        <w:rPr>
          <w:rFonts w:ascii="Book Antiqua" w:hAnsi="Book Antiqua" w:eastAsia="Book Antiqua" w:cs="Book Antiqua"/>
          <w:sz w:val="18"/>
          <w:szCs w:val="18"/>
        </w:rPr>
      </w:pPr>
      <w:r>
        <w:rPr>
          <w:rFonts w:eastAsia="Book Antiqua" w:cs="Book Antiqua" w:ascii="Book Antiqua" w:hAnsi="Book Antiqua"/>
          <w:sz w:val="18"/>
          <w:szCs w:val="18"/>
        </w:rPr>
        <w:t>Cumpre as exigências de reserva de cargos para pessoa com deficiência e para reabilitado da Previdência Social, previstas em lei e em outras normas específicas.</w:t>
      </w:r>
    </w:p>
    <w:p>
      <w:pPr>
        <w:pStyle w:val="Standard"/>
        <w:ind w:left="720" w:hanging="0"/>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6.1.3. A declaração falsa relativa ao cumprimento de qualquer condição sujeitará o licitante às sanções previstas em lei e neste Edital.</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6.1.4. Os licitantes poderão retirar ou substituir as propostas ou documentos de habilitação anteriormente inseridos no sistema, até a abertura da sessão pública.</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6.1.4.1 Os documentos relativos a habilitação deverão ser cadastrados pelo licitante até a data de abertura da sessão, após a abertura da sessão pública não será admitida a inclusão de nova documentação, exceto nas condições estipuladas no item 6.2.1.10 e 6.2.1.10.1.</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6.1.5. Após os procedimentos de abertura da sessão pública, será realizado a ordem de classificação da proposta de preços e a fase de apresentação de documentos de habilitação pelo licitante, o que ocorrerá somente após ser declarado vencedor.</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6.1.6. 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6.1.7. O licitante deverá comunicar imediatamente ao provedor do sistema qualquer acontecimento que possa comprometer o sigilo ou a segurança, para imediato bloqueio de acesso.</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6.1.8 – Todos os documentos exigidos deverão estar em plena vigência e dentro de seu prazo de validade.</w:t>
      </w:r>
    </w:p>
    <w:p>
      <w:pPr>
        <w:pStyle w:val="Standard"/>
        <w:jc w:val="both"/>
        <w:rPr>
          <w:rFonts w:ascii="Book Antiqua" w:hAnsi="Book Antiqua" w:cs="Book Antiqua"/>
          <w:b/>
          <w:b/>
          <w:sz w:val="18"/>
          <w:szCs w:val="18"/>
          <w:shd w:fill="FFFF00" w:val="clear"/>
        </w:rPr>
      </w:pPr>
      <w:r>
        <w:rPr>
          <w:rFonts w:cs="Book Antiqua" w:ascii="Book Antiqua" w:hAnsi="Book Antiqua"/>
          <w:b/>
          <w:sz w:val="18"/>
          <w:szCs w:val="18"/>
          <w:shd w:fill="FFFF00" w:val="clear"/>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6.2. DA PROPOSTA DE PREÇOS</w:t>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r>
    </w:p>
    <w:p>
      <w:pPr>
        <w:pStyle w:val="Cabealho"/>
        <w:tabs>
          <w:tab w:val="clear" w:pos="4252"/>
          <w:tab w:val="clear" w:pos="8504"/>
        </w:tabs>
        <w:jc w:val="both"/>
        <w:rPr/>
      </w:pPr>
      <w:r>
        <w:rPr>
          <w:rFonts w:cs="Book Antiqua" w:ascii="Book Antiqua" w:hAnsi="Book Antiqua"/>
          <w:b/>
          <w:bCs/>
          <w:sz w:val="18"/>
          <w:szCs w:val="18"/>
        </w:rPr>
        <w:t>DA PROPOSTA DE PREÇO ELETRÔNICA</w:t>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t>6.2.1 O licitante deverá enviar sua proposta mediante o preenchimento, no sistema eletrônico, dos seguintes campos:</w:t>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t>6.2.1.1. Valor unitário e total do item;</w:t>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r>
    </w:p>
    <w:p>
      <w:pPr>
        <w:pStyle w:val="Cabealho"/>
        <w:tabs>
          <w:tab w:val="clear" w:pos="4252"/>
          <w:tab w:val="clear" w:pos="8504"/>
        </w:tabs>
        <w:jc w:val="both"/>
        <w:rPr/>
      </w:pPr>
      <w:r>
        <w:rPr>
          <w:rFonts w:cs="Book Antiqua" w:ascii="Book Antiqua" w:hAnsi="Book Antiqua"/>
          <w:sz w:val="18"/>
          <w:szCs w:val="18"/>
        </w:rPr>
        <w:t xml:space="preserve">6.2.1.2. Descrição do objeto, contendo as informações similares à especificação do Estudo Técnico Preliminar e </w:t>
      </w:r>
      <w:r>
        <w:rPr/>
        <w:t>Projeto Básico,</w:t>
      </w:r>
      <w:r>
        <w:rPr>
          <w:rFonts w:cs="Book Antiqua" w:ascii="Book Antiqua" w:hAnsi="Book Antiqua"/>
          <w:sz w:val="18"/>
          <w:szCs w:val="18"/>
        </w:rPr>
        <w:t xml:space="preserve"> indicando, no que for aplicável, o modelo, prazo de validade ou de garantia, número do registro ou inscrição do bem no órgão competente, quando for o caso;</w:t>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t>6.2.2. Todas as especificações do objeto contidas na proposta vinculam a Contratada;</w:t>
      </w:r>
    </w:p>
    <w:p>
      <w:pPr>
        <w:pStyle w:val="Cabealho"/>
        <w:tabs>
          <w:tab w:val="clear" w:pos="4252"/>
          <w:tab w:val="clear" w:pos="8504"/>
        </w:tabs>
        <w:jc w:val="both"/>
        <w:rPr>
          <w:color w:val="FF0000"/>
        </w:rPr>
      </w:pPr>
      <w:r>
        <w:rPr>
          <w:color w:val="FF0000"/>
        </w:rPr>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t>6.2.3. Os preços ofertados, serão de exclusiva responsabilidade do licitante, não lhe assistindo o direito de pleitear qualquer alteração, sob alegação de erro, omissão ou qualquer outro pretexto;</w:t>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r>
    </w:p>
    <w:p>
      <w:pPr>
        <w:pStyle w:val="Cabealho"/>
        <w:tabs>
          <w:tab w:val="clear" w:pos="4252"/>
          <w:tab w:val="clear" w:pos="8504"/>
        </w:tabs>
        <w:jc w:val="both"/>
        <w:rPr/>
      </w:pPr>
      <w:r>
        <w:rPr>
          <w:rFonts w:cs="Book Antiqua" w:ascii="Book Antiqua" w:hAnsi="Book Antiqua"/>
          <w:sz w:val="18"/>
          <w:szCs w:val="18"/>
        </w:rPr>
        <w:t xml:space="preserve">6.2.4. Sob pena de </w:t>
      </w:r>
      <w:r>
        <w:rPr>
          <w:rFonts w:cs="Book Antiqua" w:ascii="Book Antiqua" w:hAnsi="Book Antiqua"/>
          <w:b/>
          <w:bCs/>
          <w:sz w:val="18"/>
          <w:szCs w:val="18"/>
          <w:u w:val="single"/>
        </w:rPr>
        <w:t>DESCLASSIFICAÇÃO</w:t>
      </w:r>
      <w:r>
        <w:rPr>
          <w:rFonts w:cs="Book Antiqua" w:ascii="Book Antiqua" w:hAnsi="Book Antiqua"/>
          <w:sz w:val="18"/>
          <w:szCs w:val="18"/>
        </w:rPr>
        <w:t xml:space="preserve"> a licitante que declarada vencedora deverá encaminhar em campo próprio no Plataforma Eletrônica constante na página eletrônica da BLL– Bolsa de Licitações e Leilões. </w:t>
      </w:r>
      <w:hyperlink r:id="rId6">
        <w:r>
          <w:rPr>
            <w:rStyle w:val="LinkdaInternet"/>
            <w:rFonts w:cs="Book Antiqua" w:ascii="Book Antiqua" w:hAnsi="Book Antiqua"/>
            <w:sz w:val="18"/>
            <w:szCs w:val="18"/>
          </w:rPr>
          <w:t xml:space="preserve">BLLCOMPRAS.COM. </w:t>
        </w:r>
      </w:hyperlink>
      <w:r>
        <w:rPr>
          <w:rFonts w:cs="Book Antiqua" w:ascii="Book Antiqua" w:hAnsi="Book Antiqua"/>
          <w:b/>
          <w:bCs/>
          <w:sz w:val="18"/>
          <w:szCs w:val="18"/>
          <w:u w:val="single"/>
        </w:rPr>
        <w:t>no prazo máximo de 02 (duas) horas,</w:t>
      </w:r>
      <w:r>
        <w:rPr>
          <w:rFonts w:cs="Book Antiqua" w:ascii="Book Antiqua" w:hAnsi="Book Antiqua"/>
          <w:sz w:val="18"/>
          <w:szCs w:val="18"/>
        </w:rPr>
        <w:t xml:space="preserve"> contado da solicitação do Agente de Contratação, A Proposta Física acompanhada da Planilha de Preço (orçamento resumido, orçamento sintético, orçamento analítico, cronograma físico-financeiro, BDI, tabela de Encargos Sociais) para realização do Julgamento da Proposta.</w:t>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t>6.2.4.1 O prazo máximo estipulado para apresentação da proposta de preço, poderá ser prorrogado por igual período, desde que devidamente justificado pelo licitante e aceito pelo Agente de Contratação.</w:t>
      </w:r>
    </w:p>
    <w:p>
      <w:pPr>
        <w:pStyle w:val="Cabealho"/>
        <w:tabs>
          <w:tab w:val="clear" w:pos="4252"/>
          <w:tab w:val="clear" w:pos="8504"/>
        </w:tabs>
        <w:jc w:val="both"/>
        <w:rPr>
          <w:rFonts w:ascii="Book Antiqua" w:hAnsi="Book Antiqua" w:cs="Book Antiqua"/>
          <w:sz w:val="18"/>
          <w:szCs w:val="18"/>
        </w:rPr>
      </w:pPr>
      <w:r>
        <w:rPr>
          <w:rFonts w:cs="Book Antiqua" w:ascii="Book Antiqua" w:hAnsi="Book Antiqua"/>
          <w:sz w:val="18"/>
          <w:szCs w:val="18"/>
        </w:rPr>
      </w:r>
    </w:p>
    <w:p>
      <w:pPr>
        <w:pStyle w:val="Cabealho"/>
        <w:jc w:val="both"/>
        <w:rPr>
          <w:highlight w:val="yellow"/>
        </w:rPr>
      </w:pPr>
      <w:r>
        <w:rPr>
          <w:highlight w:val="yellow"/>
        </w:rPr>
      </w:r>
    </w:p>
    <w:p>
      <w:pPr>
        <w:pStyle w:val="Cabealho"/>
        <w:tabs>
          <w:tab w:val="clear" w:pos="4252"/>
          <w:tab w:val="clear" w:pos="8504"/>
        </w:tabs>
        <w:jc w:val="both"/>
        <w:rPr>
          <w:rFonts w:ascii="Book Antiqua" w:hAnsi="Book Antiqua" w:cs="Book Antiqua"/>
          <w:b/>
          <w:b/>
          <w:bCs/>
          <w:sz w:val="18"/>
          <w:szCs w:val="18"/>
        </w:rPr>
      </w:pPr>
      <w:r>
        <w:rPr>
          <w:rFonts w:cs="Book Antiqua" w:ascii="Book Antiqua" w:hAnsi="Book Antiqua"/>
          <w:b/>
          <w:bCs/>
          <w:sz w:val="18"/>
          <w:szCs w:val="18"/>
        </w:rPr>
      </w:r>
    </w:p>
    <w:p>
      <w:pPr>
        <w:pStyle w:val="Cabealho"/>
        <w:tabs>
          <w:tab w:val="clear" w:pos="4252"/>
          <w:tab w:val="clear" w:pos="8504"/>
        </w:tabs>
        <w:jc w:val="both"/>
        <w:rPr>
          <w:rFonts w:ascii="Book Antiqua" w:hAnsi="Book Antiqua" w:cs="Book Antiqua"/>
          <w:b/>
          <w:b/>
          <w:bCs/>
          <w:sz w:val="18"/>
          <w:szCs w:val="18"/>
        </w:rPr>
      </w:pPr>
      <w:r>
        <w:rPr>
          <w:rFonts w:cs="Book Antiqua" w:ascii="Book Antiqua" w:hAnsi="Book Antiqua"/>
          <w:b/>
          <w:bCs/>
          <w:sz w:val="18"/>
          <w:szCs w:val="18"/>
        </w:rPr>
        <w:t>DA PROPOSTA FÍSICA E PLANILHA DE PREÇOS</w:t>
      </w:r>
    </w:p>
    <w:p>
      <w:pPr>
        <w:pStyle w:val="Cabealho"/>
        <w:tabs>
          <w:tab w:val="clear" w:pos="4252"/>
          <w:tab w:val="clear" w:pos="8504"/>
        </w:tabs>
        <w:jc w:val="both"/>
        <w:rPr>
          <w:rFonts w:ascii="Book Antiqua" w:hAnsi="Book Antiqua" w:cs="Book Antiqua"/>
          <w:b/>
          <w:b/>
          <w:bCs/>
          <w:sz w:val="18"/>
          <w:szCs w:val="18"/>
        </w:rPr>
      </w:pPr>
      <w:r>
        <w:rPr>
          <w:rFonts w:cs="Book Antiqua" w:ascii="Book Antiqua" w:hAnsi="Book Antiqua"/>
          <w:b/>
          <w:bCs/>
          <w:sz w:val="18"/>
          <w:szCs w:val="18"/>
        </w:rPr>
      </w:r>
    </w:p>
    <w:p>
      <w:pPr>
        <w:pStyle w:val="Alnea"/>
        <w:tabs>
          <w:tab w:val="left" w:pos="142" w:leader="none"/>
          <w:tab w:val="left" w:pos="1134" w:leader="none"/>
          <w:tab w:val="left" w:pos="2268" w:leader="none"/>
        </w:tabs>
        <w:ind w:left="0" w:hanging="0"/>
        <w:rPr/>
      </w:pPr>
      <w:r>
        <w:rPr>
          <w:rFonts w:cs="Book Antiqua" w:ascii="Book Antiqua" w:hAnsi="Book Antiqua"/>
          <w:sz w:val="18"/>
          <w:szCs w:val="18"/>
        </w:rPr>
        <w:t xml:space="preserve">6.2.5 A PROPOSTA DE PREÇOS do licitante, além da via impressa assinada, vistada, timbrada, também deverá ser redigida com clareza em língua portuguesa, salvo quanto às expressões técnicas de uso corrente, sem alternativas, sem emendas, sem rasuras ou entrelinhas, devidamente datadas e assinadas na última folha e rubricadas nas demais, pelo representante legal da licitante, apresentada, em via digital, na forma de planilha eletrônica de cálculo, </w:t>
      </w:r>
      <w:r>
        <w:rPr>
          <w:rFonts w:cs="Book Antiqua" w:ascii="Book Antiqua" w:hAnsi="Book Antiqua"/>
          <w:sz w:val="18"/>
          <w:szCs w:val="18"/>
          <w:u w:val="single"/>
        </w:rPr>
        <w:t>com a indicação do Responsável Técnico e nº de Registro do Conselho competente, em todas as folhas, que permite a cópia dos dados inseridos</w:t>
      </w:r>
      <w:r>
        <w:rPr>
          <w:rFonts w:cs="Book Antiqua" w:ascii="Book Antiqua" w:hAnsi="Book Antiqua"/>
          <w:sz w:val="18"/>
          <w:szCs w:val="18"/>
        </w:rPr>
        <w:t>, para fins de realizar o julgamento da proposta</w:t>
      </w:r>
      <w:r>
        <w:rPr>
          <w:rFonts w:cs="Book Antiqua" w:ascii="Book Antiqua" w:hAnsi="Book Antiqua"/>
          <w:sz w:val="18"/>
          <w:szCs w:val="18"/>
          <w:u w:val="single"/>
        </w:rPr>
        <w:t xml:space="preserve"> a análise da referida proposta por parte do Agente de Contratação e o envio da proposta de preços e planilhas para análise do Tribunal de contas</w:t>
      </w:r>
      <w:r>
        <w:rPr>
          <w:rFonts w:cs="Book Antiqua" w:ascii="Book Antiqua" w:hAnsi="Book Antiqua"/>
          <w:sz w:val="18"/>
          <w:szCs w:val="18"/>
        </w:rPr>
        <w:t>;</w:t>
      </w:r>
    </w:p>
    <w:p>
      <w:pPr>
        <w:pStyle w:val="Alnea"/>
        <w:tabs>
          <w:tab w:val="left" w:pos="142" w:leader="none"/>
          <w:tab w:val="left" w:pos="1134" w:leader="none"/>
          <w:tab w:val="left" w:pos="2268" w:leader="none"/>
        </w:tabs>
        <w:ind w:left="0" w:hanging="0"/>
        <w:rPr>
          <w:rFonts w:ascii="Book Antiqua" w:hAnsi="Book Antiqua" w:cs="Book Antiqua"/>
          <w:sz w:val="18"/>
          <w:szCs w:val="18"/>
        </w:rPr>
      </w:pPr>
      <w:r>
        <w:rPr>
          <w:rFonts w:cs="Book Antiqua" w:ascii="Book Antiqua" w:hAnsi="Book Antiqua"/>
          <w:sz w:val="18"/>
          <w:szCs w:val="18"/>
        </w:rPr>
      </w:r>
    </w:p>
    <w:p>
      <w:pPr>
        <w:pStyle w:val="111Numerao2"/>
        <w:spacing w:before="0" w:after="120"/>
        <w:rPr>
          <w:rFonts w:ascii="Book Antiqua" w:hAnsi="Book Antiqua" w:cs="Book Antiqua"/>
          <w:b w:val="false"/>
          <w:b w:val="false"/>
          <w:sz w:val="18"/>
          <w:szCs w:val="18"/>
        </w:rPr>
      </w:pPr>
      <w:r>
        <w:rPr>
          <w:rFonts w:cs="Book Antiqua" w:ascii="Book Antiqua" w:hAnsi="Book Antiqua"/>
          <w:b w:val="false"/>
          <w:sz w:val="18"/>
          <w:szCs w:val="18"/>
        </w:rPr>
        <w:t>6.2.5.1 Havendo divergência entre a via impressa e o valor digital da PROPOSTA DE PREÇOS, prevalecerá, para fins de julgamento, o teor da via impressa;</w:t>
      </w:r>
    </w:p>
    <w:p>
      <w:pPr>
        <w:pStyle w:val="111Numerao2"/>
        <w:spacing w:before="0" w:after="120"/>
        <w:rPr/>
      </w:pPr>
      <w:r>
        <w:rPr>
          <w:rFonts w:cs="Book Antiqua" w:ascii="Book Antiqua" w:hAnsi="Book Antiqua"/>
          <w:b w:val="false"/>
          <w:sz w:val="18"/>
          <w:szCs w:val="18"/>
        </w:rPr>
        <w:t xml:space="preserve">6.2.5.2 A versão digital da PROPOSTA DE PREÇOS deverá encaminhar em campo próprio no sistema Plataforma Eletrônica constante na página eletrônica da BLL– Bolsa de Licitações e Leilões. </w:t>
      </w:r>
      <w:hyperlink r:id="rId7">
        <w:r>
          <w:rPr>
            <w:rStyle w:val="LinkdaInternet"/>
            <w:rFonts w:cs="Book Antiqua" w:ascii="Book Antiqua" w:hAnsi="Book Antiqua"/>
            <w:b w:val="false"/>
            <w:sz w:val="18"/>
            <w:szCs w:val="18"/>
          </w:rPr>
          <w:t>BLLCOMPRAS.COM.</w:t>
        </w:r>
      </w:hyperlink>
      <w:r>
        <w:rPr>
          <w:rFonts w:cs="Book Antiqua" w:ascii="Book Antiqua" w:hAnsi="Book Antiqua"/>
          <w:b w:val="false"/>
          <w:sz w:val="18"/>
          <w:szCs w:val="18"/>
        </w:rPr>
        <w:t xml:space="preserve">  caso a licitante deixe de apresentar a proposta em mídia digital, ou, caso venha a mídia digital apresentar problemas no momento do certame, poderá o Setor de Licitação realizar diligências a fim de sanar tal questão, inclusive concedendo prazo para que a licitante apresente a proposta em mídia, portanto, Ressalta-se que caso concedido tal prazo, não poderá a licitante apresentar proposta digital divergente da proposta impressa que fora apresentada no momento do certame.</w:t>
      </w:r>
    </w:p>
    <w:p>
      <w:pPr>
        <w:pStyle w:val="111Numerao2"/>
        <w:spacing w:before="0" w:after="120"/>
        <w:rPr/>
      </w:pPr>
      <w:r>
        <w:rPr>
          <w:rFonts w:eastAsia="SimSun;???????????????????????" w:cs="Book Antiqua" w:ascii="Book Antiqua" w:hAnsi="Book Antiqua"/>
          <w:b w:val="false"/>
          <w:sz w:val="18"/>
          <w:szCs w:val="18"/>
        </w:rPr>
        <w:t xml:space="preserve">6.2.5.3 Os Arquivos digitais constantes deverão ser no formato de arquivo do tipo </w:t>
      </w:r>
      <w:r>
        <w:rPr>
          <w:rFonts w:eastAsia="SimSun;???????????????????????" w:cs="Book Antiqua" w:ascii="Book Antiqua" w:hAnsi="Book Antiqua"/>
          <w:b w:val="false"/>
          <w:i/>
          <w:sz w:val="18"/>
          <w:szCs w:val="18"/>
        </w:rPr>
        <w:t>“.xls</w:t>
      </w:r>
      <w:r>
        <w:rPr>
          <w:rFonts w:eastAsia="SimSun;???????????????????????" w:cs="Book Antiqua" w:ascii="Book Antiqua" w:hAnsi="Book Antiqua"/>
          <w:b w:val="false"/>
          <w:sz w:val="18"/>
          <w:szCs w:val="18"/>
        </w:rPr>
        <w:t>”/“.</w:t>
      </w:r>
      <w:r>
        <w:rPr>
          <w:rFonts w:eastAsia="SimSun;???????????????????????" w:cs="Book Antiqua" w:ascii="Book Antiqua" w:hAnsi="Book Antiqua"/>
          <w:b w:val="false"/>
          <w:i/>
          <w:sz w:val="18"/>
          <w:szCs w:val="18"/>
        </w:rPr>
        <w:t>xlsx</w:t>
      </w:r>
      <w:r>
        <w:rPr>
          <w:rFonts w:eastAsia="SimSun;???????????????????????" w:cs="Book Antiqua" w:ascii="Book Antiqua" w:hAnsi="Book Antiqua"/>
          <w:b w:val="false"/>
          <w:sz w:val="18"/>
          <w:szCs w:val="18"/>
        </w:rPr>
        <w:t xml:space="preserve">” (Excel) ou </w:t>
      </w:r>
      <w:r>
        <w:rPr>
          <w:rFonts w:eastAsia="SimSun;???????????????????????" w:cs="Book Antiqua" w:ascii="Book Antiqua" w:hAnsi="Book Antiqua"/>
          <w:b w:val="false"/>
          <w:i/>
          <w:sz w:val="18"/>
          <w:szCs w:val="18"/>
        </w:rPr>
        <w:t>“.ods</w:t>
      </w:r>
      <w:r>
        <w:rPr>
          <w:rFonts w:eastAsia="SimSun;???????????????????????" w:cs="Book Antiqua" w:ascii="Book Antiqua" w:hAnsi="Book Antiqua"/>
          <w:b w:val="false"/>
          <w:sz w:val="18"/>
          <w:szCs w:val="18"/>
        </w:rPr>
        <w:t>” (OpenOffice ou LibreOffice);</w:t>
      </w:r>
    </w:p>
    <w:p>
      <w:pPr>
        <w:pStyle w:val="111Numerao2"/>
        <w:spacing w:before="0" w:after="120"/>
        <w:rPr/>
      </w:pPr>
      <w:r>
        <w:rPr/>
      </w:r>
    </w:p>
    <w:p>
      <w:pPr>
        <w:pStyle w:val="11Numerao1"/>
        <w:spacing w:before="0" w:after="120"/>
        <w:rPr/>
      </w:pPr>
      <w:r>
        <w:rPr>
          <w:rFonts w:cs="Book Antiqua" w:ascii="Book Antiqua" w:hAnsi="Book Antiqua"/>
          <w:sz w:val="18"/>
          <w:szCs w:val="18"/>
        </w:rPr>
        <w:t>6.2.6 A Proposta de Preços deverá ser formulada conforme modelo constante no</w:t>
      </w:r>
      <w:r>
        <w:rPr>
          <w:rFonts w:cs="Book Antiqua" w:ascii="Book Antiqua" w:hAnsi="Book Antiqua"/>
          <w:sz w:val="18"/>
          <w:szCs w:val="18"/>
          <w:shd w:fill="FFFFD7" w:val="clear"/>
        </w:rPr>
        <w:t xml:space="preserve"> </w:t>
      </w:r>
      <w:r>
        <w:rPr>
          <w:rFonts w:cs="Book Antiqua" w:ascii="Book Antiqua" w:hAnsi="Book Antiqua"/>
          <w:sz w:val="18"/>
          <w:szCs w:val="18"/>
          <w:shd w:fill="auto" w:val="clear"/>
        </w:rPr>
        <w:t>ANEXO I e</w:t>
      </w:r>
      <w:r>
        <w:rPr>
          <w:rFonts w:cs="Book Antiqua" w:ascii="Book Antiqua" w:hAnsi="Book Antiqua"/>
          <w:sz w:val="18"/>
          <w:szCs w:val="18"/>
        </w:rPr>
        <w:t xml:space="preserve"> deverá observar o seguinte, </w:t>
      </w:r>
      <w:r>
        <w:rPr>
          <w:rFonts w:cs="Book Antiqua" w:ascii="Book Antiqua" w:hAnsi="Book Antiqua"/>
          <w:b/>
          <w:sz w:val="18"/>
          <w:szCs w:val="18"/>
          <w:u w:val="single"/>
        </w:rPr>
        <w:t>SOB PENA DE DESCLASSIFICAÇÃO:</w:t>
      </w:r>
    </w:p>
    <w:p>
      <w:pPr>
        <w:pStyle w:val="111Numerao2"/>
        <w:tabs>
          <w:tab w:val="clear" w:pos="708"/>
          <w:tab w:val="left" w:pos="709" w:leader="none"/>
          <w:tab w:val="left" w:pos="851" w:leader="none"/>
        </w:tabs>
        <w:spacing w:before="0" w:after="120"/>
        <w:rPr/>
      </w:pPr>
      <w:r>
        <w:rPr>
          <w:rFonts w:cs="Book Antiqua" w:ascii="Book Antiqua" w:hAnsi="Book Antiqua"/>
          <w:b w:val="false"/>
          <w:sz w:val="18"/>
          <w:szCs w:val="18"/>
        </w:rPr>
        <w:t>6.2.6.1 Conter</w:t>
      </w:r>
      <w:r>
        <w:rPr>
          <w:rFonts w:cs="Book Antiqua" w:ascii="Book Antiqua" w:hAnsi="Book Antiqua"/>
          <w:b w:val="false"/>
          <w:bCs w:val="false"/>
          <w:sz w:val="18"/>
          <w:szCs w:val="18"/>
        </w:rPr>
        <w:t xml:space="preserve"> </w:t>
      </w:r>
      <w:r>
        <w:rPr>
          <w:rFonts w:cs="Book Antiqua" w:ascii="Book Antiqua" w:hAnsi="Book Antiqua"/>
          <w:b w:val="false"/>
          <w:sz w:val="18"/>
          <w:szCs w:val="18"/>
        </w:rPr>
        <w:t>razão social da licitante, n</w:t>
      </w:r>
      <w:r>
        <w:rPr>
          <w:rFonts w:cs="Book Antiqua" w:ascii="Book Antiqua" w:hAnsi="Book Antiqua"/>
          <w:b w:val="false"/>
          <w:position w:val="5"/>
          <w:sz w:val="18"/>
          <w:szCs w:val="18"/>
        </w:rPr>
        <w:t>o</w:t>
      </w:r>
      <w:r>
        <w:rPr>
          <w:rFonts w:cs="Book Antiqua" w:ascii="Book Antiqua" w:hAnsi="Book Antiqua"/>
          <w:b w:val="false"/>
          <w:sz w:val="18"/>
          <w:szCs w:val="18"/>
        </w:rPr>
        <w:t xml:space="preserve"> do CNPJ/MF, endereço completo, telefone, para contato, n</w:t>
      </w:r>
      <w:r>
        <w:rPr>
          <w:rFonts w:cs="Book Antiqua" w:ascii="Book Antiqua" w:hAnsi="Book Antiqua"/>
          <w:b w:val="false"/>
          <w:position w:val="5"/>
          <w:sz w:val="18"/>
          <w:szCs w:val="18"/>
        </w:rPr>
        <w:t>o</w:t>
      </w:r>
      <w:r>
        <w:rPr>
          <w:rFonts w:cs="Book Antiqua" w:ascii="Book Antiqua" w:hAnsi="Book Antiqua"/>
          <w:b w:val="false"/>
          <w:sz w:val="18"/>
          <w:szCs w:val="18"/>
        </w:rPr>
        <w:t xml:space="preserve"> da conta-corrente, agência e respectivo Banco e, se possível, endereço eletrônico (e-mail);</w:t>
      </w:r>
    </w:p>
    <w:p>
      <w:pPr>
        <w:pStyle w:val="111Numerao2"/>
        <w:tabs>
          <w:tab w:val="clear" w:pos="708"/>
          <w:tab w:val="left" w:pos="480" w:leader="none"/>
        </w:tabs>
        <w:spacing w:before="0" w:after="120"/>
        <w:rPr>
          <w:rFonts w:ascii="Book Antiqua" w:hAnsi="Book Antiqua" w:cs="Book Antiqua"/>
          <w:b w:val="false"/>
          <w:b w:val="false"/>
          <w:sz w:val="18"/>
          <w:szCs w:val="18"/>
        </w:rPr>
      </w:pPr>
      <w:r>
        <w:rPr>
          <w:rFonts w:cs="Book Antiqua" w:ascii="Book Antiqua" w:hAnsi="Book Antiqua"/>
          <w:b w:val="false"/>
          <w:sz w:val="18"/>
          <w:szCs w:val="18"/>
        </w:rPr>
        <w:t>6.2.6.2 Número e descrição detalhada do objeto da presente licitação, em conformidade com as especificações constantes neste edital e seus anexos;</w:t>
      </w:r>
    </w:p>
    <w:p>
      <w:pPr>
        <w:pStyle w:val="111Numerao2"/>
        <w:tabs>
          <w:tab w:val="clear" w:pos="708"/>
          <w:tab w:val="left" w:pos="480" w:leader="none"/>
        </w:tabs>
        <w:spacing w:before="0" w:after="120"/>
        <w:rPr/>
      </w:pPr>
      <w:r>
        <w:rPr>
          <w:rFonts w:cs="Book Antiqua" w:ascii="Book Antiqua" w:hAnsi="Book Antiqua"/>
          <w:b w:val="false"/>
          <w:sz w:val="18"/>
          <w:szCs w:val="18"/>
        </w:rPr>
        <w:t xml:space="preserve">6.2.2.3 O prazo de eficácia da proposta, o qual </w:t>
      </w:r>
      <w:r>
        <w:rPr>
          <w:rFonts w:cs="Book Antiqua" w:ascii="Book Antiqua" w:hAnsi="Book Antiqua"/>
          <w:b w:val="false"/>
          <w:sz w:val="18"/>
          <w:szCs w:val="18"/>
          <w:u w:val="single"/>
        </w:rPr>
        <w:t>não poderá ser inferior a 60 (sessenta) dias</w:t>
      </w:r>
      <w:r>
        <w:rPr>
          <w:rFonts w:cs="Book Antiqua" w:ascii="Book Antiqua" w:hAnsi="Book Antiqua"/>
          <w:b w:val="false"/>
          <w:sz w:val="18"/>
          <w:szCs w:val="18"/>
        </w:rPr>
        <w:t xml:space="preserve"> corridos, a contar da data de entrega da mesma;</w:t>
      </w:r>
    </w:p>
    <w:p>
      <w:pPr>
        <w:pStyle w:val="111Numerao2"/>
        <w:tabs>
          <w:tab w:val="clear" w:pos="708"/>
          <w:tab w:val="left" w:pos="480" w:leader="none"/>
        </w:tabs>
        <w:spacing w:before="0" w:after="120"/>
        <w:rPr/>
      </w:pPr>
      <w:r>
        <w:rPr>
          <w:rFonts w:cs="Book Antiqua" w:ascii="Book Antiqua" w:hAnsi="Book Antiqua"/>
          <w:b w:val="false"/>
          <w:sz w:val="18"/>
          <w:szCs w:val="18"/>
        </w:rPr>
        <w:t xml:space="preserve">6.2.2.4 </w:t>
      </w:r>
      <w:r>
        <w:rPr>
          <w:rFonts w:cs="Book Antiqua" w:ascii="Book Antiqua" w:hAnsi="Book Antiqua"/>
          <w:b w:val="false"/>
          <w:bCs w:val="false"/>
          <w:sz w:val="18"/>
          <w:szCs w:val="18"/>
        </w:rPr>
        <w:t>Apresentar</w:t>
      </w:r>
      <w:r>
        <w:rPr>
          <w:rFonts w:cs="Book Antiqua" w:ascii="Book Antiqua" w:hAnsi="Book Antiqua"/>
          <w:b w:val="false"/>
          <w:sz w:val="18"/>
          <w:szCs w:val="18"/>
        </w:rPr>
        <w:t xml:space="preserve"> uma única cotação, com preço do serviço, em moeda corrente nacional, expressos em algarismos, sem previsão inflacionária. Em caso de divergência entre os valores unitários e totais, serão considerados os primeiros;</w:t>
      </w:r>
    </w:p>
    <w:p>
      <w:pPr>
        <w:pStyle w:val="111Numerao2"/>
        <w:tabs>
          <w:tab w:val="clear" w:pos="708"/>
          <w:tab w:val="left" w:pos="480" w:leader="none"/>
        </w:tabs>
        <w:spacing w:before="0" w:after="120"/>
        <w:rPr>
          <w:rFonts w:ascii="Book Antiqua" w:hAnsi="Book Antiqua" w:cs="Book Antiqua"/>
          <w:b w:val="false"/>
          <w:b w:val="false"/>
          <w:sz w:val="18"/>
          <w:szCs w:val="18"/>
        </w:rPr>
      </w:pPr>
      <w:r>
        <w:rPr>
          <w:rFonts w:cs="Book Antiqua" w:ascii="Book Antiqua" w:hAnsi="Book Antiqua"/>
          <w:b w:val="false"/>
          <w:sz w:val="18"/>
          <w:szCs w:val="18"/>
        </w:rPr>
        <w:t>6.2.2.5 O valor global da proposta não deverá ser superior ao limite estabelecido na planilha base da Prefeitura Municipal de Rondonópolis – MT, bem como os valores unitários não poderão ser superiores aos expostos na planilha desta municipalidade.</w:t>
      </w:r>
    </w:p>
    <w:p>
      <w:pPr>
        <w:pStyle w:val="11Numerao1"/>
        <w:spacing w:before="0" w:after="120"/>
        <w:rPr/>
      </w:pPr>
      <w:r>
        <w:rPr>
          <w:rFonts w:cs="Book Antiqua" w:ascii="Book Antiqua" w:hAnsi="Book Antiqua"/>
          <w:sz w:val="18"/>
          <w:szCs w:val="18"/>
        </w:rPr>
        <w:t>6.2.10</w:t>
      </w:r>
      <w:r>
        <w:rPr>
          <w:rFonts w:cs="Book Antiqua" w:ascii="Book Antiqua" w:hAnsi="Book Antiqua"/>
          <w:b/>
          <w:sz w:val="18"/>
          <w:szCs w:val="18"/>
        </w:rPr>
        <w:t xml:space="preserve"> </w:t>
      </w:r>
      <w:r>
        <w:rPr>
          <w:rFonts w:cs="Book Antiqua" w:ascii="Book Antiqua" w:hAnsi="Book Antiqua"/>
          <w:sz w:val="18"/>
          <w:szCs w:val="18"/>
        </w:rPr>
        <w:t>A proposta deverá conter todo e qualquer custo que se fizer necessário para a execução dos serviços (Locações de equipamentos, encargos trabalhistas, horas extras, recomposição das áreas danificadas na execução dos serviços, limpeza durante a execução dos serviços, limpeza final, remoção do material excedente; encargos sociais; BDI; etc.);</w:t>
      </w:r>
    </w:p>
    <w:p>
      <w:pPr>
        <w:pStyle w:val="11Numerao1"/>
        <w:spacing w:before="0" w:after="120"/>
        <w:rPr>
          <w:rFonts w:ascii="Book Antiqua" w:hAnsi="Book Antiqua" w:cs="Book Antiqua"/>
          <w:sz w:val="18"/>
          <w:szCs w:val="18"/>
        </w:rPr>
      </w:pPr>
      <w:r>
        <w:rPr>
          <w:rFonts w:cs="Book Antiqua" w:ascii="Book Antiqua" w:hAnsi="Book Antiqua"/>
          <w:sz w:val="18"/>
          <w:szCs w:val="18"/>
        </w:rPr>
        <w:t>6.2.11 A proposta deverá conter: Prazo de entrega dos serviços; Prazo de validade da proposta. Valor Global da proposta; Planilha Orçamentária com preços unitários e totais por item; Composição de Preço Unitário e Cronograma Físico-Financeiro;</w:t>
      </w:r>
    </w:p>
    <w:p>
      <w:pPr>
        <w:pStyle w:val="11Numerao1"/>
        <w:spacing w:before="0" w:after="120"/>
        <w:rPr/>
      </w:pPr>
      <w:r>
        <w:rPr>
          <w:rFonts w:cs="Book Antiqua" w:ascii="Book Antiqua" w:hAnsi="Book Antiqua"/>
          <w:sz w:val="18"/>
          <w:szCs w:val="18"/>
        </w:rPr>
        <w:t>6.2.11.1 A COMPOSIÇÃO DE PREÇOS UNITÁRIOS deverá ser elaborada para todos os itens constantes na PLANILHA ORÇAMENTÁRIA DE PREÇOS, nos termos do Artigo 6º da Resolução Normativa nº 39/2016/TCEMT (TCU, Súmula 258).</w:t>
      </w:r>
    </w:p>
    <w:p>
      <w:pPr>
        <w:pStyle w:val="111Numerao2"/>
        <w:spacing w:before="0" w:after="120"/>
        <w:rPr>
          <w:rFonts w:ascii="Book Antiqua" w:hAnsi="Book Antiqua" w:cs="Book Antiqua"/>
          <w:b w:val="false"/>
          <w:b w:val="false"/>
          <w:sz w:val="18"/>
          <w:szCs w:val="18"/>
        </w:rPr>
      </w:pPr>
      <w:r>
        <w:rPr>
          <w:rFonts w:cs="Book Antiqua" w:ascii="Book Antiqua" w:hAnsi="Book Antiqua"/>
          <w:b w:val="false"/>
          <w:sz w:val="18"/>
          <w:szCs w:val="18"/>
        </w:rPr>
        <w:t>6.2.11.2 Os serviços deverão obedecer na íntegra os memoriais, caso fornecidos;</w:t>
      </w:r>
    </w:p>
    <w:p>
      <w:pPr>
        <w:pStyle w:val="111Numerao2"/>
        <w:spacing w:before="0" w:after="120"/>
        <w:rPr>
          <w:rFonts w:ascii="Book Antiqua" w:hAnsi="Book Antiqua" w:eastAsia="Calibri;Calibri" w:cs="Book Antiqua"/>
          <w:b w:val="false"/>
          <w:b w:val="false"/>
          <w:sz w:val="18"/>
          <w:szCs w:val="18"/>
          <w:lang w:eastAsia="en-US"/>
        </w:rPr>
      </w:pPr>
      <w:r>
        <w:rPr>
          <w:rFonts w:eastAsia="Calibri;Calibri" w:cs="Book Antiqua" w:ascii="Book Antiqua" w:hAnsi="Book Antiqua"/>
          <w:b w:val="false"/>
          <w:sz w:val="18"/>
          <w:szCs w:val="18"/>
          <w:lang w:eastAsia="en-US"/>
        </w:rPr>
        <w:t>6.2.11.3 A Licitante deverá apresentar proposta com a opção de folha de pagamentos desonerados ou não. Em caso de optante por desoneração da folha de pagamento, conforme a Lei 13.161/2015 apresentar ainda Declaração de optante por desoneração;</w:t>
      </w:r>
    </w:p>
    <w:p>
      <w:pPr>
        <w:pStyle w:val="111Numerao2"/>
        <w:spacing w:before="0" w:after="120"/>
        <w:rPr/>
      </w:pPr>
      <w:r>
        <w:rPr>
          <w:rFonts w:eastAsia="Calibri;Calibri" w:cs="Book Antiqua" w:ascii="Book Antiqua" w:hAnsi="Book Antiqua"/>
          <w:b w:val="false"/>
          <w:sz w:val="18"/>
          <w:szCs w:val="18"/>
          <w:lang w:eastAsia="en-US"/>
        </w:rPr>
        <w:t>6.2.11.4</w:t>
      </w:r>
      <w:r>
        <w:rPr>
          <w:rFonts w:eastAsia="Calibri;Calibri" w:cs="Book Antiqua" w:ascii="Book Antiqua" w:hAnsi="Book Antiqua"/>
          <w:sz w:val="18"/>
          <w:szCs w:val="18"/>
          <w:lang w:eastAsia="en-US"/>
        </w:rPr>
        <w:t xml:space="preserve"> </w:t>
      </w:r>
      <w:r>
        <w:rPr>
          <w:rFonts w:eastAsia="Calibri;Calibri" w:cs="Book Antiqua" w:ascii="Book Antiqua" w:hAnsi="Book Antiqua"/>
          <w:b w:val="false"/>
          <w:sz w:val="18"/>
          <w:szCs w:val="18"/>
          <w:lang w:eastAsia="en-US"/>
        </w:rPr>
        <w:t xml:space="preserve">A Composição do BDI deve atender o disposto no Acórdão nº 2622/2013-TCU e de acordo com a opção de encargos sociais escolhida, </w:t>
      </w:r>
      <w:r>
        <w:rPr>
          <w:rFonts w:cs="Book Antiqua" w:ascii="Book Antiqua" w:hAnsi="Book Antiqua"/>
          <w:b w:val="false"/>
          <w:sz w:val="18"/>
          <w:szCs w:val="18"/>
        </w:rPr>
        <w:t xml:space="preserve">em valores nominais como também sob a forma percentual, com a indicação do Responsável Técnico e nº de Registro no Conselho competente </w:t>
      </w:r>
      <w:r>
        <w:rPr>
          <w:rFonts w:cs="Book Antiqua" w:ascii="Book Antiqua" w:hAnsi="Book Antiqua"/>
          <w:b w:val="false"/>
          <w:sz w:val="18"/>
          <w:szCs w:val="18"/>
          <w:u w:val="single"/>
        </w:rPr>
        <w:t>em todas suas folhas;</w:t>
      </w:r>
    </w:p>
    <w:p>
      <w:pPr>
        <w:pStyle w:val="111Numerao2"/>
        <w:spacing w:before="0" w:after="120"/>
        <w:rPr/>
      </w:pPr>
      <w:r>
        <w:rPr>
          <w:rFonts w:eastAsia="Calibri;Calibri" w:cs="Book Antiqua" w:ascii="Book Antiqua" w:hAnsi="Book Antiqua"/>
          <w:b w:val="false"/>
          <w:sz w:val="18"/>
          <w:szCs w:val="18"/>
          <w:lang w:eastAsia="en-US"/>
        </w:rPr>
        <w:t>6.2.11.5</w:t>
      </w:r>
      <w:r>
        <w:rPr>
          <w:rFonts w:eastAsia="Calibri;Calibri" w:cs="Book Antiqua" w:ascii="Book Antiqua" w:hAnsi="Book Antiqua"/>
          <w:sz w:val="18"/>
          <w:szCs w:val="18"/>
          <w:lang w:eastAsia="en-US"/>
        </w:rPr>
        <w:t xml:space="preserve"> </w:t>
      </w:r>
      <w:r>
        <w:rPr>
          <w:rFonts w:eastAsia="Calibri;Calibri" w:cs="Book Antiqua" w:ascii="Book Antiqua" w:hAnsi="Book Antiqua"/>
          <w:b w:val="false"/>
          <w:sz w:val="18"/>
          <w:szCs w:val="18"/>
          <w:lang w:eastAsia="en-US"/>
        </w:rPr>
        <w:t>Na Planilha de Orçamento deve constar o valor do BDI (Detalhando os valores aplicados nos impostos, PIS, COFINS, CPRB);</w:t>
      </w:r>
    </w:p>
    <w:p>
      <w:pPr>
        <w:pStyle w:val="Normal"/>
        <w:tabs>
          <w:tab w:val="clear" w:pos="708"/>
          <w:tab w:val="left" w:pos="1134" w:leader="none"/>
        </w:tabs>
        <w:spacing w:lineRule="auto" w:line="276" w:before="0" w:after="120"/>
        <w:jc w:val="both"/>
        <w:rPr/>
      </w:pPr>
      <w:r>
        <w:rPr>
          <w:rFonts w:eastAsia="Calibri;Calibri" w:cs="Book Antiqua" w:ascii="Book Antiqua" w:hAnsi="Book Antiqua"/>
          <w:sz w:val="18"/>
          <w:szCs w:val="18"/>
          <w:lang w:eastAsia="en-US"/>
        </w:rPr>
        <w:t xml:space="preserve">6.2.11.5.1 </w:t>
      </w:r>
      <w:r>
        <w:rPr>
          <w:rFonts w:cs="Book Antiqua" w:ascii="Book Antiqua" w:hAnsi="Book Antiqua"/>
          <w:sz w:val="18"/>
          <w:szCs w:val="18"/>
        </w:rPr>
        <w:t>Apresentar a composição do BDI, conforme o Estudo Técnico Preliminar – ETP e Projeto Básico .</w:t>
      </w:r>
    </w:p>
    <w:p>
      <w:pPr>
        <w:pStyle w:val="111Numerao2"/>
        <w:spacing w:before="0" w:after="120"/>
        <w:rPr/>
      </w:pPr>
      <w:r>
        <w:rPr>
          <w:rStyle w:val="Manoel"/>
          <w:rFonts w:cs="Book Antiqua" w:ascii="Book Antiqua" w:hAnsi="Book Antiqua"/>
          <w:b w:val="false"/>
          <w:bCs w:val="false"/>
          <w:color w:val="000000"/>
          <w:sz w:val="18"/>
          <w:szCs w:val="18"/>
        </w:rPr>
        <w:t>6.2.11.5.2</w:t>
      </w:r>
      <w:r>
        <w:rPr>
          <w:rFonts w:cs="Book Antiqua" w:ascii="Book Antiqua" w:hAnsi="Book Antiqua"/>
          <w:b w:val="false"/>
          <w:bCs w:val="false"/>
          <w:sz w:val="18"/>
          <w:szCs w:val="18"/>
        </w:rPr>
        <w:t xml:space="preserve">. </w:t>
      </w:r>
      <w:r>
        <w:rPr>
          <w:rFonts w:cs="Book Antiqua" w:ascii="Book Antiqua" w:hAnsi="Book Antiqua"/>
          <w:b w:val="false"/>
          <w:sz w:val="18"/>
          <w:szCs w:val="18"/>
        </w:rPr>
        <w:t>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pPr>
        <w:pStyle w:val="111Numerao2"/>
        <w:spacing w:before="0" w:after="120"/>
        <w:rPr/>
      </w:pPr>
      <w:r>
        <w:rPr>
          <w:rStyle w:val="Manoel"/>
          <w:rFonts w:cs="Book Antiqua" w:ascii="Book Antiqua" w:hAnsi="Book Antiqua"/>
          <w:b w:val="false"/>
          <w:bCs w:val="false"/>
          <w:color w:val="000000"/>
          <w:sz w:val="18"/>
          <w:szCs w:val="18"/>
        </w:rPr>
        <w:t>6.2.12 As alíquotas de tributos cotadas pelo licitante não podem ser superiores aos limites estabelecidos na legislação tributária;</w:t>
      </w:r>
    </w:p>
    <w:p>
      <w:pPr>
        <w:pStyle w:val="111Numerao2"/>
        <w:spacing w:before="0" w:after="120"/>
        <w:rPr/>
      </w:pPr>
      <w:r>
        <w:rPr>
          <w:rStyle w:val="Manoel"/>
          <w:rFonts w:cs="Book Antiqua" w:ascii="Book Antiqua" w:hAnsi="Book Antiqua"/>
          <w:b w:val="false"/>
          <w:bCs w:val="false"/>
          <w:color w:val="000000"/>
          <w:sz w:val="18"/>
          <w:szCs w:val="18"/>
        </w:rPr>
        <w:t>6.2.12.1 Os tributos considerados de natureza direta e personalística, como o Imposto de Renda de Pessoa Jurídica - IRPJ e a Contribuição Sobre o Lucro Líquido – CSLL, não deverão ser incluídos no BDI, nos termos do art. 9º, II do Decreto 7.983, de 2013 (TCU, Súmula 254);</w:t>
      </w:r>
    </w:p>
    <w:p>
      <w:pPr>
        <w:pStyle w:val="111Numerao2"/>
        <w:spacing w:before="0" w:after="120"/>
        <w:rPr/>
      </w:pPr>
      <w:r>
        <w:rPr>
          <w:rStyle w:val="Manoel"/>
          <w:rFonts w:cs="Book Antiqua" w:ascii="Book Antiqua" w:hAnsi="Book Antiqua"/>
          <w:b w:val="false"/>
          <w:bCs w:val="false"/>
          <w:color w:val="000000"/>
          <w:sz w:val="18"/>
          <w:szCs w:val="18"/>
        </w:rPr>
        <w:t>6.2.12.2.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pPr>
        <w:pStyle w:val="111Numerao2"/>
        <w:spacing w:before="0" w:after="120"/>
        <w:rPr/>
      </w:pPr>
      <w:r>
        <w:rPr>
          <w:rStyle w:val="Manoel"/>
          <w:rFonts w:eastAsia="SimSun;???????????????????????" w:cs="Book Antiqua" w:ascii="Book Antiqua" w:hAnsi="Book Antiqua"/>
          <w:b w:val="false"/>
          <w:bCs w:val="false"/>
          <w:color w:val="000000"/>
          <w:sz w:val="18"/>
          <w:szCs w:val="18"/>
        </w:rPr>
        <w:t>6.2.12.3. As empresas licitantes optantes pelo Simples Nacional deverão apresentar os percentuais de ISS, PIS e COFINS, discriminados na composição do BDI, compatíveis as alíquotas a que estão obrigadas a recolher, conforme previsão contida no Anexo IV da Lei Complementar nº 123/2006;</w:t>
      </w:r>
    </w:p>
    <w:p>
      <w:pPr>
        <w:pStyle w:val="111Numerao2"/>
        <w:spacing w:before="0" w:after="120"/>
        <w:rPr/>
      </w:pPr>
      <w:r>
        <w:rPr>
          <w:rStyle w:val="Manoel"/>
          <w:rFonts w:cs="Book Antiqua" w:ascii="Book Antiqua" w:hAnsi="Book Antiqua"/>
          <w:b w:val="false"/>
          <w:bCs w:val="false"/>
          <w:color w:val="000000"/>
          <w:sz w:val="18"/>
          <w:szCs w:val="18"/>
        </w:rPr>
        <w:t>6.2.12.4. A composição de encargos sociais das empresas optantes pelo Simples Nacional não poderá incluir os gastos relativos às contribuições que estão dispensadas de recolhimento (SESI, SENAI, SEBRAE etc.), conforme dispões o art. 13, § 3º, da referida Lei Complementar;</w:t>
      </w:r>
    </w:p>
    <w:p>
      <w:pPr>
        <w:pStyle w:val="Ttulo2"/>
        <w:keepNext w:val="false"/>
        <w:numPr>
          <w:ilvl w:val="1"/>
          <w:numId w:val="1"/>
        </w:numPr>
        <w:tabs>
          <w:tab w:val="left" w:pos="0" w:leader="none"/>
          <w:tab w:val="left" w:pos="567" w:leader="none"/>
        </w:tabs>
        <w:spacing w:before="120" w:after="120"/>
        <w:jc w:val="both"/>
        <w:rPr/>
      </w:pPr>
      <w:r>
        <w:rPr>
          <w:rFonts w:cs="Book Antiqua" w:ascii="Book Antiqua" w:hAnsi="Book Antiqua"/>
          <w:b w:val="false"/>
          <w:i w:val="false"/>
          <w:sz w:val="18"/>
          <w:szCs w:val="18"/>
        </w:rPr>
        <w:t>6.2.13 A PROPOSTA DE PREÇOS deverá expressar o Valor Global ofertado para execução do objeto desta licitação, em moeda corrente (Real), em algarismos arábicos e por extenso, sendo certo que não serão aceitas PROPOSTAS DE PREÇOS, com valor global total superior ao previsto no Estudo Técnico Preliminar – ETP e Projeto Básico, portanto sumariamente declaradas desclassificadas casos apresentados.</w:t>
      </w:r>
    </w:p>
    <w:p>
      <w:pPr>
        <w:pStyle w:val="11Numerao1"/>
        <w:spacing w:before="0" w:after="120"/>
        <w:rPr/>
      </w:pPr>
      <w:r>
        <w:rPr>
          <w:rFonts w:cs="Book Antiqua" w:ascii="Book Antiqua" w:hAnsi="Book Antiqua"/>
          <w:sz w:val="18"/>
          <w:szCs w:val="18"/>
        </w:rPr>
        <w:t>6.2.14</w:t>
      </w:r>
      <w:r>
        <w:rPr>
          <w:rFonts w:cs="Book Antiqua" w:ascii="Book Antiqua" w:hAnsi="Book Antiqua"/>
          <w:b/>
          <w:sz w:val="18"/>
          <w:szCs w:val="18"/>
        </w:rPr>
        <w:t xml:space="preserve"> </w:t>
      </w:r>
      <w:r>
        <w:rPr>
          <w:rFonts w:cs="Book Antiqua" w:ascii="Book Antiqua" w:hAnsi="Book Antiqua"/>
          <w:sz w:val="18"/>
          <w:szCs w:val="18"/>
        </w:rPr>
        <w:t>A Proposta, as Planilhas e o Cronograma deverão estar devidamente identificado o</w:t>
      </w:r>
      <w:r>
        <w:rPr>
          <w:rFonts w:cs="Book Antiqua" w:ascii="Book Antiqua" w:hAnsi="Book Antiqua"/>
          <w:sz w:val="18"/>
          <w:szCs w:val="18"/>
          <w:u w:val="single"/>
        </w:rPr>
        <w:t xml:space="preserve"> Responsável Técnico da licitante </w:t>
      </w:r>
      <w:r>
        <w:rPr>
          <w:rFonts w:cs="Book Antiqua" w:ascii="Book Antiqua" w:hAnsi="Book Antiqua"/>
          <w:sz w:val="18"/>
          <w:szCs w:val="18"/>
        </w:rPr>
        <w:t>em todas as suas folhas bem como seu número de registro junto a Conselho de Classe;</w:t>
      </w:r>
    </w:p>
    <w:p>
      <w:pPr>
        <w:pStyle w:val="11Numerao1"/>
        <w:spacing w:before="0" w:after="120"/>
        <w:rPr/>
      </w:pPr>
      <w:r>
        <w:rPr>
          <w:rFonts w:cs="Book Antiqua" w:ascii="Book Antiqua" w:hAnsi="Book Antiqua"/>
          <w:sz w:val="18"/>
          <w:szCs w:val="18"/>
        </w:rPr>
        <w:t>6.2.15</w:t>
      </w:r>
      <w:r>
        <w:rPr>
          <w:rFonts w:cs="Book Antiqua" w:ascii="Book Antiqua" w:hAnsi="Book Antiqua"/>
          <w:b/>
          <w:sz w:val="18"/>
          <w:szCs w:val="18"/>
        </w:rPr>
        <w:t xml:space="preserve"> </w:t>
      </w:r>
      <w:r>
        <w:rPr>
          <w:rFonts w:cs="Book Antiqua" w:ascii="Book Antiqua" w:hAnsi="Book Antiqua"/>
          <w:sz w:val="18"/>
          <w:szCs w:val="18"/>
        </w:rPr>
        <w:t xml:space="preserve">Cronograma Financeiro que demonstra as condições de pagamento proposto por esta Prefeitura que será conforme medição e de acordo com a apresentação das respectivas notas fiscais e demais aspectos fixados pela Administração no Estudo Técnico Preliminar – ETP, Projeto Básico , ajustado à proposta apresentada, com a indicação do Responsável Técnico e nº de Registro no Conselho competente </w:t>
      </w:r>
      <w:r>
        <w:rPr>
          <w:rFonts w:cs="Book Antiqua" w:ascii="Book Antiqua" w:hAnsi="Book Antiqua"/>
          <w:sz w:val="18"/>
          <w:szCs w:val="18"/>
          <w:u w:val="single"/>
        </w:rPr>
        <w:t>em todas suas folhas</w:t>
      </w:r>
      <w:r>
        <w:rPr>
          <w:rFonts w:cs="Book Antiqua" w:ascii="Book Antiqua" w:hAnsi="Book Antiqua"/>
          <w:sz w:val="18"/>
          <w:szCs w:val="18"/>
        </w:rPr>
        <w:t>;</w:t>
      </w:r>
    </w:p>
    <w:p>
      <w:pPr>
        <w:pStyle w:val="11Numerao1"/>
        <w:spacing w:before="0" w:after="120"/>
        <w:rPr>
          <w:rFonts w:ascii="Book Antiqua" w:hAnsi="Book Antiqua" w:cs="Book Antiqua"/>
          <w:sz w:val="18"/>
          <w:szCs w:val="18"/>
        </w:rPr>
      </w:pPr>
      <w:r>
        <w:rPr>
          <w:rFonts w:cs="Book Antiqua" w:ascii="Book Antiqua" w:hAnsi="Book Antiqua"/>
          <w:sz w:val="18"/>
          <w:szCs w:val="18"/>
        </w:rPr>
        <w:t>6.2.16 Serão desclassificadas as propostas que não atenderem às especificações e exigências do presente Edital e seus Anexos ou que apresentem omissões, irregularidades ou defeitos capazes de dificultar o julgamento;</w:t>
      </w:r>
    </w:p>
    <w:p>
      <w:pPr>
        <w:pStyle w:val="11Numerao1"/>
        <w:spacing w:before="0" w:after="120"/>
        <w:rPr/>
      </w:pPr>
      <w:r>
        <w:rPr>
          <w:rStyle w:val="Manoel"/>
          <w:rFonts w:cs="Book Antiqua" w:ascii="Book Antiqua" w:hAnsi="Book Antiqua"/>
          <w:color w:val="000000"/>
          <w:sz w:val="18"/>
          <w:szCs w:val="18"/>
        </w:rPr>
        <w:t>6.2.17 Erros no preenchimento da planilha por si só não constituirão motivo para a desclassificação da proposta. A planilha poderá ser ajustada pelo licitante, no prazo indicado pelo Agente de Contratação, desde que não haja majoração do preço proposto;</w:t>
      </w:r>
    </w:p>
    <w:p>
      <w:pPr>
        <w:pStyle w:val="11Numerao1"/>
        <w:spacing w:before="0" w:after="120"/>
        <w:rPr/>
      </w:pPr>
      <w:r>
        <w:rPr>
          <w:rStyle w:val="Manoel"/>
          <w:rFonts w:cs="Book Antiqua" w:ascii="Book Antiqua" w:hAnsi="Book Antiqua"/>
          <w:color w:val="000000"/>
          <w:sz w:val="18"/>
          <w:szCs w:val="18"/>
        </w:rPr>
        <w:t>6.2.17.1 Recusas em realizar as correções, solicitadas pelo Agente de Contratação no ato da sessão não serão aceitas, podendo levar a desclassificação da licitante e esta ficará sujeita à aplicação de sanções administrativas previstas neste edital e na legislação aplicável;</w:t>
      </w:r>
    </w:p>
    <w:p>
      <w:pPr>
        <w:pStyle w:val="11Numerao1"/>
        <w:spacing w:before="0" w:after="0"/>
        <w:rPr/>
      </w:pPr>
      <w:r>
        <w:rPr>
          <w:rFonts w:cs="Book Antiqua" w:ascii="Book Antiqua" w:hAnsi="Book Antiqua"/>
          <w:sz w:val="18"/>
          <w:szCs w:val="18"/>
        </w:rPr>
        <w:t>6.2.18 Após a apresentação da proposta, as licitantes não poderão alegar que o valor ofertado é</w:t>
      </w:r>
      <w:r>
        <w:rPr>
          <w:rFonts w:cs="Book Antiqua" w:ascii="Book Antiqua" w:hAnsi="Book Antiqua"/>
          <w:iCs/>
          <w:sz w:val="18"/>
          <w:szCs w:val="18"/>
        </w:rPr>
        <w:t xml:space="preserve"> inexequível ou de que a cotação está incorreta, bem como a licitante vencedora deverá prestar os </w:t>
      </w:r>
      <w:r>
        <w:rPr>
          <w:rFonts w:cs="Book Antiqua" w:ascii="Book Antiqua" w:hAnsi="Book Antiqua"/>
          <w:sz w:val="18"/>
          <w:szCs w:val="18"/>
        </w:rPr>
        <w:t>serviços sem ônus adicionais;</w:t>
      </w:r>
    </w:p>
    <w:p>
      <w:pPr>
        <w:pStyle w:val="11Numerao1"/>
        <w:spacing w:before="0" w:after="0"/>
        <w:rPr>
          <w:rFonts w:ascii="Book Antiqua" w:hAnsi="Book Antiqua" w:cs="Book Antiqua"/>
          <w:sz w:val="18"/>
          <w:szCs w:val="18"/>
        </w:rPr>
      </w:pPr>
      <w:r>
        <w:rPr>
          <w:rFonts w:cs="Book Antiqua" w:ascii="Book Antiqua" w:hAnsi="Book Antiqua"/>
          <w:sz w:val="18"/>
          <w:szCs w:val="18"/>
        </w:rPr>
      </w:r>
    </w:p>
    <w:p>
      <w:pPr>
        <w:pStyle w:val="11Numerao1"/>
        <w:spacing w:before="0" w:after="0"/>
        <w:rPr>
          <w:rFonts w:ascii="Book Antiqua" w:hAnsi="Book Antiqua" w:cs="Book Antiqua"/>
          <w:sz w:val="18"/>
          <w:szCs w:val="18"/>
        </w:rPr>
      </w:pPr>
      <w:r>
        <w:rPr>
          <w:rFonts w:cs="Book Antiqua" w:ascii="Book Antiqua" w:hAnsi="Book Antiqua"/>
          <w:sz w:val="18"/>
          <w:szCs w:val="18"/>
        </w:rPr>
        <w:t>6.2.19 Nos casos em que a licitante se negar a prestar os serviços, esta ficará sujeita à aplicação de sanções administrativas previstas neste edital e na legislação aplicável;</w:t>
      </w:r>
    </w:p>
    <w:p>
      <w:pPr>
        <w:pStyle w:val="11Numerao1"/>
        <w:spacing w:before="0" w:after="0"/>
        <w:rPr>
          <w:rFonts w:ascii="Book Antiqua" w:hAnsi="Book Antiqua" w:cs="Book Antiqua"/>
          <w:sz w:val="18"/>
          <w:szCs w:val="18"/>
        </w:rPr>
      </w:pPr>
      <w:r>
        <w:rPr>
          <w:rFonts w:cs="Book Antiqua" w:ascii="Book Antiqua" w:hAnsi="Book Antiqua"/>
          <w:sz w:val="18"/>
          <w:szCs w:val="18"/>
        </w:rPr>
      </w:r>
    </w:p>
    <w:p>
      <w:pPr>
        <w:pStyle w:val="11Numerao1"/>
        <w:spacing w:before="0" w:after="120"/>
        <w:rPr>
          <w:rFonts w:ascii="Book Antiqua" w:hAnsi="Book Antiqua" w:cs="Book Antiqua"/>
          <w:sz w:val="18"/>
          <w:szCs w:val="18"/>
        </w:rPr>
      </w:pPr>
      <w:r>
        <w:rPr>
          <w:rFonts w:cs="Book Antiqua" w:ascii="Book Antiqua" w:hAnsi="Book Antiqua"/>
          <w:sz w:val="18"/>
          <w:szCs w:val="18"/>
        </w:rPr>
        <w:t>6.2.20 A apresentação da proposta implicará a plena aceitação, por parte da licitante, das condições estabelecidas neste Edital e seus Anexos;</w:t>
      </w:r>
    </w:p>
    <w:p>
      <w:pPr>
        <w:pStyle w:val="11Numerao1"/>
        <w:spacing w:before="0" w:after="120"/>
        <w:rPr>
          <w:rFonts w:ascii="Book Antiqua" w:hAnsi="Book Antiqua" w:cs="Book Antiqua"/>
          <w:sz w:val="18"/>
          <w:szCs w:val="18"/>
        </w:rPr>
      </w:pPr>
      <w:r>
        <w:rPr>
          <w:rFonts w:cs="Book Antiqua" w:ascii="Book Antiqua" w:hAnsi="Book Antiqua"/>
          <w:sz w:val="18"/>
          <w:szCs w:val="18"/>
        </w:rPr>
        <w:t>6.2.21 Em nenhuma hipótese poderá ser alterado o conteúdo da proposta apresentada, sejam com relação a preço, pagamento, prazo ou qualquer condição que importe a modificação dos termos originais, ressalvadas apenas aqueles destinados a sanar evidentes erros formais, alterações essas que serão avaliadas pela autoridade competente, ressalvada a hipótese de benefício concedido à LC 123/06 quanto ao preço;</w:t>
      </w:r>
    </w:p>
    <w:p>
      <w:pPr>
        <w:pStyle w:val="11Numerao1"/>
        <w:spacing w:before="0" w:after="120"/>
        <w:rPr/>
      </w:pPr>
      <w:r>
        <w:rPr>
          <w:rFonts w:cs="Book Antiqua" w:ascii="Book Antiqua" w:hAnsi="Book Antiqua"/>
          <w:sz w:val="18"/>
          <w:szCs w:val="18"/>
        </w:rPr>
        <w:t xml:space="preserve">6.2.22 O </w:t>
      </w:r>
      <w:r>
        <w:rPr>
          <w:rStyle w:val="Manoel"/>
          <w:rFonts w:cs="Book Antiqua" w:ascii="Book Antiqua" w:hAnsi="Book Antiqua"/>
          <w:color w:val="000000"/>
          <w:sz w:val="18"/>
          <w:szCs w:val="18"/>
        </w:rPr>
        <w:t>Agente de Contratação</w:t>
      </w:r>
      <w:r>
        <w:rPr>
          <w:rFonts w:cs="Book Antiqua" w:ascii="Book Antiqua" w:hAnsi="Book Antiqua"/>
          <w:sz w:val="18"/>
          <w:szCs w:val="18"/>
        </w:rPr>
        <w:t xml:space="preserve"> considerará erros formais de somatórios e outros aspectos que beneficiem a Administração Pública e não impliquem nulidade do procedimento, como sendo exigências formais e consequentemente classificará a empresa;</w:t>
      </w:r>
    </w:p>
    <w:p>
      <w:pPr>
        <w:pStyle w:val="11Numerao1"/>
        <w:tabs>
          <w:tab w:val="clear" w:pos="0"/>
          <w:tab w:val="left" w:pos="-284" w:leader="none"/>
        </w:tabs>
        <w:spacing w:before="0" w:after="120"/>
        <w:rPr>
          <w:rFonts w:ascii="Book Antiqua" w:hAnsi="Book Antiqua" w:cs="Book Antiqua"/>
          <w:sz w:val="18"/>
          <w:szCs w:val="18"/>
        </w:rPr>
      </w:pPr>
      <w:r>
        <w:rPr>
          <w:rFonts w:cs="Book Antiqua" w:ascii="Book Antiqua" w:hAnsi="Book Antiqua"/>
          <w:sz w:val="18"/>
          <w:szCs w:val="18"/>
        </w:rPr>
        <w:t>6.2.22.1 Poderá ser concedida aos licitantes prazo para correções da proposta e planilha de preço, que apresentarem erros ou inconsistências, num prazo não superior a 24(vinte e quatro) horas.</w:t>
      </w:r>
    </w:p>
    <w:p>
      <w:pPr>
        <w:pStyle w:val="11Numerao1"/>
        <w:spacing w:before="0" w:after="120"/>
        <w:rPr>
          <w:rFonts w:ascii="Book Antiqua" w:hAnsi="Book Antiqua" w:cs="Book Antiqua"/>
          <w:sz w:val="18"/>
          <w:szCs w:val="18"/>
        </w:rPr>
      </w:pPr>
      <w:r>
        <w:rPr>
          <w:rFonts w:cs="Book Antiqua" w:ascii="Book Antiqua" w:hAnsi="Book Antiqua"/>
          <w:sz w:val="18"/>
          <w:szCs w:val="18"/>
        </w:rPr>
        <w:t>6.2.23 Independente de declaração expressa, a simples apresentação da proposta implica submissão a todas as condições estipuladas nesta licitação e seus anexos;</w:t>
      </w:r>
    </w:p>
    <w:p>
      <w:pPr>
        <w:pStyle w:val="11Numerao1"/>
        <w:spacing w:before="0" w:after="120"/>
        <w:rPr/>
      </w:pPr>
      <w:r>
        <w:rPr>
          <w:rFonts w:cs="Book Antiqua" w:ascii="Book Antiqua" w:hAnsi="Book Antiqua"/>
          <w:sz w:val="18"/>
          <w:szCs w:val="18"/>
        </w:rPr>
        <w:t xml:space="preserve">6.2.24 Se a proposta não estiver completa e correta ou contrariar qualquer dispositivo deste Edital e seus Anexos, o(a) </w:t>
      </w:r>
      <w:r>
        <w:rPr>
          <w:rStyle w:val="Manoel"/>
          <w:rFonts w:cs="Book Antiqua" w:ascii="Book Antiqua" w:hAnsi="Book Antiqua"/>
          <w:color w:val="000000"/>
          <w:sz w:val="18"/>
          <w:szCs w:val="18"/>
        </w:rPr>
        <w:t>Agente de Contratação</w:t>
      </w:r>
      <w:r>
        <w:rPr>
          <w:rFonts w:cs="Book Antiqua" w:ascii="Book Antiqua" w:hAnsi="Book Antiqua"/>
          <w:sz w:val="18"/>
          <w:szCs w:val="18"/>
        </w:rPr>
        <w:t xml:space="preserve"> considerará a proponente desclassificada;</w:t>
      </w:r>
    </w:p>
    <w:p>
      <w:pPr>
        <w:pStyle w:val="11Numerao1"/>
        <w:spacing w:before="0" w:after="120"/>
        <w:rPr>
          <w:rFonts w:ascii="Book Antiqua" w:hAnsi="Book Antiqua" w:cs="Book Antiqua"/>
          <w:sz w:val="18"/>
          <w:szCs w:val="18"/>
        </w:rPr>
      </w:pPr>
      <w:r>
        <w:rPr>
          <w:rFonts w:cs="Book Antiqua" w:ascii="Book Antiqua" w:hAnsi="Book Antiqua"/>
          <w:sz w:val="18"/>
          <w:szCs w:val="18"/>
        </w:rPr>
        <w:t>6.2.25 A sessão pública poderá ser suspensa, por prazo a ser definido na própria sessão, pelo Agente de Contratação.</w:t>
      </w:r>
    </w:p>
    <w:p>
      <w:pPr>
        <w:pStyle w:val="Corpodotexto"/>
        <w:rPr>
          <w:rFonts w:ascii="Book Antiqua" w:hAnsi="Book Antiqua" w:cs="Book Antiqua"/>
          <w:b w:val="false"/>
          <w:b w:val="false"/>
          <w:sz w:val="18"/>
          <w:szCs w:val="18"/>
        </w:rPr>
      </w:pPr>
      <w:r>
        <w:rPr>
          <w:rFonts w:cs="Book Antiqua" w:ascii="Book Antiqua" w:hAnsi="Book Antiqua"/>
          <w:b w:val="false"/>
          <w:sz w:val="18"/>
          <w:szCs w:val="18"/>
        </w:rPr>
        <w:t>6.2.26 A licitante não deverá embutir em sua proposta qualquer expectativa inflacionária, tendo em vista a estabilidade econômica do país e o exíguo prazo para execução das obras/serviços;</w:t>
      </w:r>
    </w:p>
    <w:p>
      <w:pPr>
        <w:pStyle w:val="Corpodotexto"/>
        <w:rPr>
          <w:rFonts w:ascii="Book Antiqua" w:hAnsi="Book Antiqua" w:cs="Book Antiqua"/>
          <w:b w:val="false"/>
          <w:b w:val="false"/>
          <w:sz w:val="18"/>
          <w:szCs w:val="18"/>
        </w:rPr>
      </w:pPr>
      <w:r>
        <w:rPr>
          <w:rFonts w:cs="Book Antiqua" w:ascii="Book Antiqua" w:hAnsi="Book Antiqua"/>
          <w:b w:val="false"/>
          <w:sz w:val="18"/>
          <w:szCs w:val="18"/>
        </w:rPr>
      </w:r>
    </w:p>
    <w:p>
      <w:pPr>
        <w:pStyle w:val="Corpodotexto"/>
        <w:rPr>
          <w:rFonts w:ascii="Book Antiqua" w:hAnsi="Book Antiqua" w:cs="Book Antiqua"/>
          <w:b w:val="false"/>
          <w:b w:val="false"/>
          <w:sz w:val="18"/>
          <w:szCs w:val="18"/>
        </w:rPr>
      </w:pPr>
      <w:r>
        <w:rPr>
          <w:rFonts w:cs="Book Antiqua" w:ascii="Book Antiqua" w:hAnsi="Book Antiqua"/>
          <w:b w:val="false"/>
          <w:sz w:val="18"/>
          <w:szCs w:val="18"/>
        </w:rPr>
        <w:t>6.2.27 A proposta da licitante deverá ser elaborada levando-se em consideração que as obras/serviços deverão ser entregues e em perfeitas condições de funcionamento;</w:t>
      </w:r>
    </w:p>
    <w:p>
      <w:pPr>
        <w:pStyle w:val="Normal"/>
        <w:jc w:val="both"/>
        <w:rPr>
          <w:rFonts w:ascii="Book Antiqua" w:hAnsi="Book Antiqua" w:cs="Book Antiqua"/>
          <w:b/>
          <w:b/>
          <w:sz w:val="18"/>
          <w:szCs w:val="18"/>
          <w:shd w:fill="FFFF00" w:val="clear"/>
        </w:rPr>
      </w:pPr>
      <w:r>
        <w:rPr>
          <w:rFonts w:cs="Book Antiqua" w:ascii="Book Antiqua" w:hAnsi="Book Antiqua"/>
          <w:b/>
          <w:sz w:val="18"/>
          <w:szCs w:val="18"/>
          <w:shd w:fill="FFFF00" w:val="clear"/>
        </w:rPr>
      </w:r>
    </w:p>
    <w:p>
      <w:pPr>
        <w:pStyle w:val="Normal"/>
        <w:spacing w:before="0" w:after="120"/>
        <w:jc w:val="both"/>
        <w:rPr/>
      </w:pPr>
      <w:r>
        <w:rPr>
          <w:rStyle w:val="Manoel"/>
          <w:rFonts w:eastAsia="SimSun;???????????????????????" w:cs="Book Antiqua" w:ascii="Book Antiqua" w:hAnsi="Book Antiqua"/>
          <w:b/>
          <w:bCs/>
          <w:color w:val="000000"/>
          <w:sz w:val="18"/>
          <w:szCs w:val="18"/>
          <w:shd w:fill="FFFF00" w:val="clear"/>
        </w:rPr>
        <w:t>6.2.28 O valor estimado para a contratação será de R$ 4.349.538,61  (Quatro milhões, trezentos e quarenta e nove mil, quinhentos e trinta e oito reais e sessenta e um centavos.), não podendo a empresa apresentar proposta com valor superior ao orçado pela Prefeitura.</w:t>
      </w:r>
    </w:p>
    <w:p>
      <w:pPr>
        <w:pStyle w:val="Corpodotexto"/>
        <w:rPr>
          <w:rFonts w:ascii="Book Antiqua" w:hAnsi="Book Antiqua" w:cs="Book Antiqua"/>
          <w:b w:val="false"/>
          <w:b w:val="false"/>
          <w:sz w:val="18"/>
          <w:szCs w:val="18"/>
          <w:u w:val="single"/>
        </w:rPr>
      </w:pPr>
      <w:r>
        <w:rPr>
          <w:rFonts w:cs="Book Antiqua" w:ascii="Book Antiqua" w:hAnsi="Book Antiqua"/>
          <w:b w:val="false"/>
          <w:sz w:val="18"/>
          <w:szCs w:val="18"/>
          <w:u w:val="single"/>
        </w:rPr>
      </w:r>
    </w:p>
    <w:p>
      <w:pPr>
        <w:pStyle w:val="Normal"/>
        <w:spacing w:before="0" w:after="120"/>
        <w:jc w:val="both"/>
        <w:rPr/>
      </w:pPr>
      <w:r>
        <w:rPr>
          <w:rStyle w:val="Manoel"/>
          <w:rFonts w:eastAsia="SimSun;???????????????????????" w:cs="Book Antiqua" w:ascii="Book Antiqua" w:hAnsi="Book Antiqua"/>
          <w:b/>
          <w:color w:val="000000"/>
          <w:sz w:val="18"/>
          <w:szCs w:val="18"/>
        </w:rPr>
        <w:t>6.2.30 DA ACEITABILIDADE DOS PREÇOS</w:t>
      </w:r>
    </w:p>
    <w:p>
      <w:pPr>
        <w:pStyle w:val="Normal"/>
        <w:spacing w:lineRule="auto" w:line="276"/>
        <w:jc w:val="both"/>
        <w:rPr/>
      </w:pPr>
      <w:r>
        <w:rPr>
          <w:rFonts w:ascii="Book Antiqua" w:hAnsi="Book Antiqua"/>
          <w:sz w:val="18"/>
          <w:szCs w:val="18"/>
        </w:rPr>
        <w:t xml:space="preserve">6.2.30.1 As propostas de preços, que compreendem a descrição, de forma clara e específica do material ou serviço ofertado pela Licitante, preço unitário e preço total, deverá ser compatível com as especificações constantes neste Projeto Básico  e seus anexos, em observância ao disposto no Art. 29 da Instrução Normativa </w:t>
      </w:r>
      <w:hyperlink r:id="rId8" w:tgtFrame="_top">
        <w:r>
          <w:rPr>
            <w:rStyle w:val="LinkdaInternet"/>
            <w:rFonts w:ascii="Book Antiqua" w:hAnsi="Book Antiqua"/>
            <w:sz w:val="18"/>
            <w:szCs w:val="18"/>
          </w:rPr>
          <w:t>IN SEGES/ME nº 73, de 2022</w:t>
        </w:r>
      </w:hyperlink>
      <w:r>
        <w:rPr>
          <w:rFonts w:ascii="Book Antiqua" w:hAnsi="Book Antiqua"/>
          <w:sz w:val="18"/>
          <w:szCs w:val="18"/>
        </w:rPr>
        <w:t>.</w:t>
      </w:r>
    </w:p>
    <w:p>
      <w:pPr>
        <w:pStyle w:val="NoSpacing"/>
        <w:spacing w:lineRule="auto" w:line="276"/>
        <w:jc w:val="both"/>
        <w:rPr>
          <w:rFonts w:ascii="Book Antiqua" w:hAnsi="Book Antiqua"/>
          <w:sz w:val="18"/>
          <w:szCs w:val="18"/>
          <w:lang w:val="pt-BR"/>
        </w:rPr>
      </w:pPr>
      <w:r>
        <w:rPr>
          <w:rFonts w:ascii="Book Antiqua" w:hAnsi="Book Antiqua"/>
          <w:sz w:val="18"/>
          <w:szCs w:val="18"/>
          <w:lang w:val="pt-BR"/>
        </w:rPr>
      </w:r>
    </w:p>
    <w:p>
      <w:pPr>
        <w:pStyle w:val="NoSpacing"/>
        <w:spacing w:lineRule="auto" w:line="276"/>
        <w:jc w:val="both"/>
        <w:rPr/>
      </w:pPr>
      <w:r>
        <w:rPr>
          <w:rFonts w:ascii="Book Antiqua" w:hAnsi="Book Antiqua"/>
          <w:sz w:val="18"/>
          <w:szCs w:val="18"/>
          <w:lang w:val="pt-BR"/>
        </w:rPr>
        <w:t xml:space="preserve">6.2.30.2 </w:t>
      </w:r>
      <w:r>
        <w:rPr>
          <w:rFonts w:ascii="Book Antiqua" w:hAnsi="Book Antiqua"/>
          <w:b/>
          <w:bCs/>
          <w:sz w:val="18"/>
          <w:szCs w:val="18"/>
        </w:rPr>
        <w:t xml:space="preserve">O Licitante não poderá apresentar preços superiores aos estabelecidos no orçamento referencial da Administração Pública, </w:t>
      </w:r>
      <w:r>
        <w:rPr>
          <w:rFonts w:ascii="Book Antiqua" w:hAnsi="Book Antiqua"/>
          <w:sz w:val="18"/>
          <w:szCs w:val="18"/>
        </w:rPr>
        <w:t>sejam eles no preço dos insumos, serviços individuais ou no valor total do serviço. Não serão permitidas alterações nas quantidades/coeficientes ou exclusões dos itens</w:t>
      </w:r>
      <w:r>
        <w:rPr>
          <w:rFonts w:ascii="Book Antiqua" w:hAnsi="Book Antiqua"/>
          <w:b/>
          <w:bCs/>
          <w:sz w:val="18"/>
          <w:szCs w:val="18"/>
        </w:rPr>
        <w:t xml:space="preserve"> </w:t>
      </w:r>
      <w:r>
        <w:rPr>
          <w:rFonts w:ascii="Book Antiqua" w:hAnsi="Book Antiqua"/>
          <w:sz w:val="18"/>
          <w:szCs w:val="18"/>
        </w:rPr>
        <w:t>constantes das composições de preços unitários, e quanto ao valor total do serviço, este não poderá ser superior ao do orçamento, acrescido do valor do BDI (Bonificações e Despesas Indiretas)</w:t>
      </w:r>
      <w:r>
        <w:rPr>
          <w:rFonts w:ascii="Book Antiqua" w:hAnsi="Book Antiqua"/>
          <w:sz w:val="18"/>
          <w:szCs w:val="18"/>
          <w:lang w:val="pt-BR"/>
        </w:rPr>
        <w:t>.</w:t>
      </w:r>
    </w:p>
    <w:p>
      <w:pPr>
        <w:pStyle w:val="NoSpacing"/>
        <w:spacing w:lineRule="auto" w:line="276"/>
        <w:jc w:val="both"/>
        <w:rPr>
          <w:rFonts w:ascii="Book Antiqua" w:hAnsi="Book Antiqua"/>
          <w:sz w:val="18"/>
          <w:szCs w:val="18"/>
          <w:lang w:val="pt-BR"/>
        </w:rPr>
      </w:pPr>
      <w:r>
        <w:rPr>
          <w:rFonts w:ascii="Book Antiqua" w:hAnsi="Book Antiqua"/>
          <w:sz w:val="18"/>
          <w:szCs w:val="18"/>
          <w:lang w:val="pt-BR"/>
        </w:rPr>
      </w:r>
    </w:p>
    <w:p>
      <w:pPr>
        <w:pStyle w:val="NoSpacing"/>
        <w:spacing w:lineRule="auto" w:line="276"/>
        <w:jc w:val="both"/>
        <w:rPr/>
      </w:pPr>
      <w:r>
        <w:rPr>
          <w:rFonts w:ascii="Book Antiqua" w:hAnsi="Book Antiqua"/>
          <w:sz w:val="18"/>
          <w:szCs w:val="18"/>
          <w:lang w:val="pt-BR"/>
        </w:rPr>
        <w:t xml:space="preserve">6.2.30.3 A Licitante deverá apresentar demonstrativo de Composições de Preço Unitárias (Analítica), Composição de BDI </w:t>
      </w:r>
      <w:r>
        <w:rPr>
          <w:rFonts w:ascii="Book Antiqua" w:hAnsi="Book Antiqua"/>
          <w:sz w:val="18"/>
          <w:szCs w:val="18"/>
        </w:rPr>
        <w:t>(Bonificações e Despesas Indiretas)</w:t>
      </w:r>
      <w:r>
        <w:rPr>
          <w:rFonts w:ascii="Book Antiqua" w:hAnsi="Book Antiqua"/>
          <w:sz w:val="18"/>
          <w:szCs w:val="18"/>
          <w:lang w:val="pt-BR"/>
        </w:rPr>
        <w:t xml:space="preserve"> e de Encargos Sociais. (Art. 56, inciso II, §5º da </w:t>
      </w:r>
      <w:hyperlink r:id="rId9" w:tgtFrame="_top">
        <w:r>
          <w:rPr>
            <w:rStyle w:val="LinkdaInternet"/>
            <w:rFonts w:ascii="Book Antiqua" w:hAnsi="Book Antiqua"/>
            <w:sz w:val="18"/>
            <w:szCs w:val="18"/>
            <w:lang w:val="pt-BR"/>
          </w:rPr>
          <w:t>Lei nº 14.133, de 1º de abril de 2021</w:t>
        </w:r>
      </w:hyperlink>
      <w:r>
        <w:rPr>
          <w:rFonts w:ascii="Book Antiqua" w:hAnsi="Book Antiqua"/>
          <w:sz w:val="18"/>
          <w:szCs w:val="18"/>
        </w:rPr>
        <w:t>).</w:t>
      </w:r>
    </w:p>
    <w:p>
      <w:pPr>
        <w:pStyle w:val="NoSpacing"/>
        <w:spacing w:lineRule="auto" w:line="276"/>
        <w:jc w:val="both"/>
        <w:rPr>
          <w:rFonts w:ascii="Book Antiqua" w:hAnsi="Book Antiqua"/>
          <w:sz w:val="18"/>
          <w:szCs w:val="18"/>
        </w:rPr>
      </w:pPr>
      <w:r>
        <w:rPr>
          <w:rFonts w:ascii="Book Antiqua" w:hAnsi="Book Antiqua"/>
          <w:sz w:val="18"/>
          <w:szCs w:val="18"/>
        </w:rPr>
      </w:r>
    </w:p>
    <w:p>
      <w:pPr>
        <w:pStyle w:val="NoSpacing"/>
        <w:spacing w:lineRule="auto" w:line="276"/>
        <w:jc w:val="both"/>
        <w:rPr>
          <w:rFonts w:ascii="Book Antiqua" w:hAnsi="Book Antiqua"/>
          <w:sz w:val="18"/>
          <w:szCs w:val="18"/>
        </w:rPr>
      </w:pPr>
      <w:r>
        <w:rPr>
          <w:rFonts w:ascii="Book Antiqua" w:hAnsi="Book Antiqua"/>
          <w:sz w:val="18"/>
          <w:szCs w:val="18"/>
        </w:rPr>
        <w:t>6.2.30.4. Nos preços cotados apresentados pela CONTRATADA deverão estar inclusos os encargos sociais e trabalhistas, BDI, todos os equipamentos, instrumentos, ferramentas e máquinas necessários ao desenvolvimento dos trabalhos, enfim, quaisquer outras despesas necessárias à realização dos serviços, bem assim, deduzidos quaisquer descontos que venham a ser concedidos. Os impostos, as taxas, as despesas indiretas, indicando como limite dos preços a mediana constante do SINAPI.</w:t>
      </w:r>
    </w:p>
    <w:p>
      <w:pPr>
        <w:pStyle w:val="NoSpacing"/>
        <w:spacing w:lineRule="auto" w:line="276"/>
        <w:jc w:val="both"/>
        <w:rPr>
          <w:rFonts w:ascii="Book Antiqua" w:hAnsi="Book Antiqua"/>
          <w:sz w:val="18"/>
          <w:szCs w:val="18"/>
        </w:rPr>
      </w:pPr>
      <w:r>
        <w:rPr>
          <w:rFonts w:ascii="Book Antiqua" w:hAnsi="Book Antiqua"/>
          <w:sz w:val="18"/>
          <w:szCs w:val="18"/>
        </w:rPr>
      </w:r>
    </w:p>
    <w:p>
      <w:pPr>
        <w:pStyle w:val="NoSpacing"/>
        <w:spacing w:lineRule="auto" w:line="276"/>
        <w:jc w:val="both"/>
        <w:rPr/>
      </w:pPr>
      <w:r>
        <w:rPr>
          <w:rFonts w:ascii="Book Antiqua" w:hAnsi="Book Antiqua"/>
          <w:sz w:val="18"/>
          <w:szCs w:val="18"/>
          <w:lang w:val="pt-BR"/>
        </w:rPr>
        <w:t xml:space="preserve">6.2.30.5 </w:t>
      </w:r>
      <w:r>
        <w:rPr>
          <w:rFonts w:ascii="Book Antiqua" w:hAnsi="Book Antiqua"/>
          <w:sz w:val="18"/>
          <w:szCs w:val="18"/>
        </w:rPr>
        <w:t xml:space="preserve">A empresa deverá apresentar Cronograma físico-financeiro detalhado de execução das obras e serviços, relacionado ao objeto, observadas as condições </w:t>
      </w:r>
      <w:r>
        <w:rPr>
          <w:rFonts w:ascii="Book Antiqua" w:hAnsi="Book Antiqua"/>
          <w:sz w:val="18"/>
          <w:szCs w:val="18"/>
          <w:lang w:val="pt-BR"/>
        </w:rPr>
        <w:t>constantes no Projeto Básico, com periodicidade mensal.</w:t>
      </w:r>
    </w:p>
    <w:p>
      <w:pPr>
        <w:pStyle w:val="NoSpacing"/>
        <w:spacing w:lineRule="auto" w:line="276"/>
        <w:jc w:val="both"/>
        <w:rPr>
          <w:rFonts w:ascii="Book Antiqua" w:hAnsi="Book Antiqua"/>
          <w:sz w:val="18"/>
          <w:szCs w:val="18"/>
          <w:lang w:val="pt-BR"/>
        </w:rPr>
      </w:pPr>
      <w:r>
        <w:rPr>
          <w:rFonts w:ascii="Book Antiqua" w:hAnsi="Book Antiqua"/>
          <w:sz w:val="18"/>
          <w:szCs w:val="18"/>
          <w:lang w:val="pt-BR"/>
        </w:rPr>
      </w:r>
    </w:p>
    <w:p>
      <w:pPr>
        <w:pStyle w:val="Normal"/>
        <w:jc w:val="both"/>
        <w:rPr/>
      </w:pPr>
      <w:r>
        <w:rPr>
          <w:rStyle w:val="Manoel"/>
          <w:rFonts w:ascii="Book Antiqua" w:hAnsi="Book Antiqua"/>
          <w:color w:val="auto"/>
          <w:sz w:val="18"/>
          <w:szCs w:val="18"/>
        </w:rPr>
        <w:t>6.2.30.6. Sugere-se que a licitante utilize a fórmula de truncamento "TRUNCAR" com duas casas decimais em todas as operações matemáticas para compor os valores da proposta, a fim de evitar correções futuras na proposta de preços.</w:t>
      </w:r>
    </w:p>
    <w:p>
      <w:pPr>
        <w:pStyle w:val="Normal"/>
        <w:jc w:val="both"/>
        <w:rPr/>
      </w:pPr>
      <w:r>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6.3. DOCUMENTAÇÃO DE HABILITAÇÃO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Standard"/>
        <w:jc w:val="both"/>
        <w:rPr/>
      </w:pPr>
      <w:r>
        <w:rPr>
          <w:rFonts w:eastAsia="Book Antiqua" w:cs="Book Antiqua" w:ascii="Book Antiqua" w:hAnsi="Book Antiqua"/>
          <w:sz w:val="18"/>
          <w:szCs w:val="18"/>
        </w:rPr>
        <w:t>6.3.1. Os documentos previstos neste Edital e n</w:t>
      </w:r>
      <w:r>
        <w:rPr>
          <w:rStyle w:val="Manoel"/>
          <w:rFonts w:ascii="Book Antiqua" w:hAnsi="Book Antiqua"/>
          <w:color w:val="000000"/>
          <w:sz w:val="18"/>
          <w:szCs w:val="18"/>
          <w:lang w:bidi="ar-SA"/>
        </w:rPr>
        <w:t xml:space="preserve">o </w:t>
      </w:r>
      <w:r>
        <w:rPr>
          <w:rStyle w:val="Manoel"/>
          <w:rFonts w:ascii="Book Antiqua" w:hAnsi="Book Antiqua"/>
          <w:color w:val="auto"/>
          <w:sz w:val="18"/>
          <w:szCs w:val="18"/>
          <w:lang w:bidi="ar-SA"/>
        </w:rPr>
        <w:t xml:space="preserve">Projeto Básico </w:t>
      </w:r>
      <w:r>
        <w:rPr>
          <w:rStyle w:val="Manoel"/>
          <w:rFonts w:ascii="Book Antiqua" w:hAnsi="Book Antiqua"/>
          <w:color w:val="000000"/>
          <w:sz w:val="18"/>
          <w:szCs w:val="18"/>
          <w:lang w:bidi="ar-SA"/>
        </w:rPr>
        <w:t>são necessários e suficientes para demonstrar a capacidade do licitante de realizar o objeto da licitação, e serão exigid</w:t>
      </w:r>
      <w:r>
        <w:rPr>
          <w:rFonts w:eastAsia="Book Antiqua" w:cs="Book Antiqua" w:ascii="Book Antiqua" w:hAnsi="Book Antiqua"/>
          <w:sz w:val="18"/>
          <w:szCs w:val="18"/>
        </w:rPr>
        <w:t>os para fins de habilitação, nos termos dos arts. 62 e 70 da Lei nº 14.133/2021.</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6.3.1.1. A documentação exigida para fins de habilitação jurídica, fiscal, trabalhista, econômico-financeira e técnica deverá ser enviada obrigatoriamente pelo sistema eletrônico oficial adotado pela Prefeitura Municipal de Rondonópolis/MT (BLLCOMPRAS.COM), nos termos do Decreto Municipal nº 11.685/2023.</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6.3.1.2. A habilitação será verificada por meio dos documentos cadastrados na BLLCOMPRAS.COM.</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6.3.1.3. Somente haverá necessidade de apresentação de documentos originais não digitais quando houver dúvida quanto à integridade do documento eletrônico ou quando a lei expressamente o exigir.</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6.3.1.4. É de responsabilidade do licitante conferir a exatidão dos seus dados cadastrais na Plataforma Eletrônica constante na página eletrônica da BLL – Bolsa de Licitações e Leilões (BLLCOMPRAS.COM) e mantê-los atualizados junto aos órgãos responsáveis pela informação, devendo proceder, imediatamente, à correção ou à alteração dos registros tão logo identifique incorreção ou aqueles se tornem desatualizados.</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6.3.1.5. A não observância do disposto no item anterior poderá ensejar desclassificação no momento da habilitação.</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6.3.1.6. A verificação pelo Agente de Contratação, em sítios eletrônicos oficiais de órgãos e entidades emissores de certidões, constitui meio legal de prova para fins de habilitação (art. 63, §2º, Lei nº 14.133/2021).</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6.3.1.7. Os documentos exigidos para habilitação que não estejam previamente cadastrados na BLLCOMPRAS.COM deverão ser enviados em formato digital pelo sistema, no prazo estipulado pelo Agente de Contratação, podendo ser prorrogado uma única vez, desde que a justificativa seja devidamente fundamentada e aceita.</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6.3.1.8. A verificação da documentação de habilitação será realizada após o julgamento das propostas e lances, exclusivamente em relação à licitante melhor classificada.</w:t>
      </w:r>
    </w:p>
    <w:p>
      <w:pPr>
        <w:pStyle w:val="Standard"/>
        <w:jc w:val="both"/>
        <w:rPr/>
      </w:pPr>
      <w:r>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6.3.1.9. Após o envio e análise dos documentos para habilitação, não será permitida a substituição ou a apresentação de novos documentos, salvo em sede de diligência, para:</w:t>
      </w:r>
    </w:p>
    <w:p>
      <w:pPr>
        <w:pStyle w:val="Standard"/>
        <w:jc w:val="both"/>
        <w:rPr/>
      </w:pPr>
      <w:r>
        <w:rPr/>
      </w:r>
    </w:p>
    <w:p>
      <w:pPr>
        <w:pStyle w:val="Standard"/>
        <w:jc w:val="both"/>
        <w:rPr>
          <w:rFonts w:ascii="Book Antiqua" w:hAnsi="Book Antiqua" w:eastAsia="Book Antiqua" w:cs="Book Antiqua"/>
          <w:b/>
          <w:b/>
          <w:sz w:val="18"/>
          <w:szCs w:val="18"/>
        </w:rPr>
      </w:pPr>
      <w:r>
        <w:rPr>
          <w:rFonts w:eastAsia="Book Antiqua" w:cs="Book Antiqua" w:ascii="Book Antiqua" w:hAnsi="Book Antiqua"/>
          <w:b/>
          <w:sz w:val="18"/>
          <w:szCs w:val="18"/>
        </w:rPr>
        <w:t>6.3.1.9.1. Complementação de informações acerca dos documentos já apresentados, desde que necessária para apurar fatos existentes à época da abertura do certame, ou para sanar vícios formais, erros de conteúdo ou prazos de validade expirados após a abertura da sessão (art. 64 da Lei nº 14.133/2021).</w:t>
      </w:r>
    </w:p>
    <w:p>
      <w:pPr>
        <w:pStyle w:val="Standard"/>
        <w:jc w:val="both"/>
        <w:rPr>
          <w:rFonts w:ascii="Book Antiqua" w:hAnsi="Book Antiqua" w:eastAsia="Book Antiqua" w:cs="Book Antiqua"/>
          <w:b/>
          <w:b/>
          <w:sz w:val="18"/>
          <w:szCs w:val="18"/>
        </w:rPr>
      </w:pPr>
      <w:r>
        <w:rPr>
          <w:rFonts w:eastAsia="Book Antiqua" w:cs="Book Antiqua" w:ascii="Book Antiqua" w:hAnsi="Book Antiqua"/>
          <w:b/>
          <w:sz w:val="18"/>
          <w:szCs w:val="18"/>
        </w:rPr>
      </w:r>
    </w:p>
    <w:p>
      <w:pPr>
        <w:pStyle w:val="Normal"/>
        <w:pBdr>
          <w:top w:val="single" w:sz="4" w:space="1" w:color="000000"/>
          <w:left w:val="single" w:sz="4" w:space="1" w:color="000000"/>
          <w:bottom w:val="single" w:sz="4" w:space="1" w:color="000000"/>
          <w:right w:val="single" w:sz="4" w:space="4" w:color="000000"/>
        </w:pBdr>
        <w:shd w:val="clear" w:color="auto" w:fill="E0E0E0"/>
        <w:ind w:left="-57" w:hanging="0"/>
        <w:jc w:val="center"/>
        <w:rPr>
          <w:rFonts w:ascii="Book Antiqua" w:hAnsi="Book Antiqua" w:cs="Book Antiqua"/>
          <w:b/>
          <w:b/>
          <w:sz w:val="18"/>
          <w:szCs w:val="18"/>
          <w:u w:val="single"/>
        </w:rPr>
      </w:pPr>
      <w:r>
        <w:rPr>
          <w:rFonts w:cs="Book Antiqua" w:ascii="Book Antiqua" w:hAnsi="Book Antiqua"/>
          <w:b/>
          <w:sz w:val="18"/>
          <w:szCs w:val="18"/>
          <w:u w:val="single"/>
        </w:rPr>
        <w:t>6.4. HABILITAÇÃO JURÍDICA</w:t>
      </w:r>
    </w:p>
    <w:p>
      <w:pPr>
        <w:pStyle w:val="Normal"/>
        <w:jc w:val="both"/>
        <w:rPr>
          <w:rFonts w:ascii="Book Antiqua" w:hAnsi="Book Antiqua" w:cs="Book Antiqua"/>
          <w:b/>
          <w:b/>
          <w:sz w:val="18"/>
          <w:szCs w:val="18"/>
          <w:u w:val="single"/>
        </w:rPr>
      </w:pPr>
      <w:r>
        <w:rPr>
          <w:rFonts w:cs="Book Antiqua" w:ascii="Book Antiqua" w:hAnsi="Book Antiqua"/>
          <w:b/>
          <w:sz w:val="18"/>
          <w:szCs w:val="18"/>
          <w:u w:val="single"/>
        </w:rPr>
      </w:r>
    </w:p>
    <w:p>
      <w:pPr>
        <w:pStyle w:val="Normal"/>
        <w:jc w:val="both"/>
        <w:rPr>
          <w:rFonts w:ascii="Book Antiqua" w:hAnsi="Book Antiqua" w:cs="Book Antiqua"/>
          <w:sz w:val="18"/>
          <w:szCs w:val="18"/>
        </w:rPr>
      </w:pPr>
      <w:r>
        <w:rPr>
          <w:rFonts w:cs="Book Antiqua" w:ascii="Book Antiqua" w:hAnsi="Book Antiqua"/>
          <w:sz w:val="18"/>
          <w:szCs w:val="18"/>
        </w:rPr>
        <w:t>6.4.1 Cédula de identidade do Sócio-Administrador e no caso de o Administrador não ser sócio, apresentar cédula de identidade de todo (s) o (s) sócio (s);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6.4.2. Registro comercial, no caso de empresa individual; ou</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6.4.3 Ato constitutivo, estatuto ou contrato social, devidamente registrado, </w:t>
      </w:r>
      <w:r>
        <w:rPr>
          <w:rFonts w:eastAsia="SimSun;???????????????????????" w:cs="Book Antiqua" w:ascii="Book Antiqua" w:hAnsi="Book Antiqua"/>
          <w:b/>
          <w:sz w:val="18"/>
          <w:szCs w:val="18"/>
        </w:rPr>
        <w:t>acompanhados de todas as alterações efetuadas ou da consolidação respectiva</w:t>
      </w:r>
      <w:r>
        <w:rPr>
          <w:rFonts w:cs="Book Antiqua" w:ascii="Book Antiqua" w:hAnsi="Book Antiqua"/>
          <w:sz w:val="18"/>
          <w:szCs w:val="18"/>
        </w:rPr>
        <w:t>, em se tratando de sociedade comercial, e, no caso de sociedade por ações, acompanhados dos documentos de eleição de seus administradores; ou</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6.4.4 Inscrição do ato constitutivo, no caso de sociedades civis, acompanhada de prova de diretoria em exercício; ou</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6.4.5 Decreto de autorização, em se tratando de empresas ou sociedade estrangeira em funcionamento no País, e ato de registro ou autorização para funcionamento expedido pelo órgão competente, quando a atividade assim o exigir;</w:t>
      </w:r>
    </w:p>
    <w:p>
      <w:pPr>
        <w:pStyle w:val="Normal"/>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pPr>
      <w:r>
        <w:rPr>
          <w:rFonts w:cs="Book Antiqua" w:ascii="Book Antiqua" w:hAnsi="Book Antiqua"/>
          <w:b/>
          <w:sz w:val="18"/>
          <w:szCs w:val="18"/>
        </w:rPr>
        <w:t xml:space="preserve">6.5. </w:t>
      </w:r>
      <w:r>
        <w:rPr>
          <w:rFonts w:cs="Book Antiqua" w:ascii="Book Antiqua" w:hAnsi="Book Antiqua"/>
          <w:b/>
          <w:sz w:val="18"/>
          <w:szCs w:val="18"/>
          <w:u w:val="single"/>
        </w:rPr>
        <w:t>REGULARIDADE FISCAL.</w:t>
      </w:r>
    </w:p>
    <w:p>
      <w:pPr>
        <w:pStyle w:val="Normal"/>
        <w:ind w:hanging="1701"/>
        <w:jc w:val="both"/>
        <w:rPr>
          <w:rFonts w:ascii="Book Antiqua" w:hAnsi="Book Antiqua" w:cs="Book Antiqua"/>
          <w:b/>
          <w:b/>
          <w:sz w:val="18"/>
          <w:szCs w:val="18"/>
          <w:u w:val="single"/>
        </w:rPr>
      </w:pPr>
      <w:r>
        <w:rPr>
          <w:rFonts w:cs="Book Antiqua" w:ascii="Book Antiqua" w:hAnsi="Book Antiqua"/>
          <w:b/>
          <w:sz w:val="18"/>
          <w:szCs w:val="18"/>
          <w:u w:val="single"/>
        </w:rPr>
      </w:r>
    </w:p>
    <w:p>
      <w:pPr>
        <w:pStyle w:val="Cabealho"/>
        <w:jc w:val="both"/>
        <w:rPr>
          <w:rFonts w:ascii="Book Antiqua" w:hAnsi="Book Antiqua" w:eastAsia="Book Antiqua" w:cs="Book Antiqua"/>
          <w:sz w:val="18"/>
          <w:szCs w:val="18"/>
        </w:rPr>
      </w:pPr>
      <w:r>
        <w:rPr>
          <w:rFonts w:eastAsia="Book Antiqua" w:cs="Book Antiqua" w:ascii="Book Antiqua" w:hAnsi="Book Antiqua"/>
          <w:sz w:val="18"/>
          <w:szCs w:val="18"/>
        </w:rPr>
        <w:t>6.5.1 Prova de regularidade para com a Fazenda Federal, Estadual e Municipal do domicílio ou sede do licitante, compreendendo:</w:t>
      </w:r>
    </w:p>
    <w:p>
      <w:pPr>
        <w:pStyle w:val="Standard"/>
        <w:tabs>
          <w:tab w:val="clear" w:pos="708"/>
          <w:tab w:val="left" w:pos="720" w:leader="none"/>
          <w:tab w:val="left" w:pos="1415" w:leader="none"/>
          <w:tab w:val="left" w:pos="2124" w:leader="none"/>
          <w:tab w:val="left" w:pos="2831" w:leader="none"/>
          <w:tab w:val="left" w:pos="3539" w:leader="none"/>
          <w:tab w:val="left" w:pos="4248" w:leader="none"/>
          <w:tab w:val="left" w:pos="4956" w:leader="none"/>
          <w:tab w:val="left" w:pos="5664" w:leader="none"/>
          <w:tab w:val="left" w:pos="6372" w:leader="none"/>
          <w:tab w:val="left" w:pos="7081" w:leader="none"/>
          <w:tab w:val="left" w:pos="7790" w:leader="none"/>
          <w:tab w:val="left" w:pos="9071" w:leader="none"/>
        </w:tabs>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a) Prova de Regularidade com a Fazenda Federal, que deverá ser comprovada através da apresentação de Certidão de Regularidade de Tributos e Contribuições Federais e Certidão de Regularidade quanto à Dívida Ativa da União, expedidas pela Secretaria da Receita Federal e Procuradoria da Fazenda Nacional;</w:t>
      </w:r>
    </w:p>
    <w:p>
      <w:pPr>
        <w:pStyle w:val="Cabealho"/>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b) Certidão Negativa da Fazenda Estadual, para as empresas sediadas no Estado de Mato Grosso, será aceita somente certidão com fins de Participação em Licitações Públicas;</w:t>
      </w:r>
    </w:p>
    <w:p>
      <w:pPr>
        <w:pStyle w:val="Cabealho"/>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c) Certidão Negativa de Tributos Municipais, da sede da licitante;</w:t>
      </w:r>
    </w:p>
    <w:p>
      <w:pPr>
        <w:pStyle w:val="Cabealho"/>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d) Certidão Negativa de Débito Trabalhista, perante a Justiça do Trabalho, redação dada pela Lei nº 12.440/2011;</w:t>
      </w:r>
    </w:p>
    <w:p>
      <w:pPr>
        <w:pStyle w:val="Standard"/>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e) Prova de inscrição no Cadastro Nacional de Pessoa Jurídica – CNPJ/MF;</w:t>
      </w:r>
    </w:p>
    <w:p>
      <w:pPr>
        <w:pStyle w:val="Standard"/>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f) Inscrição no cadastro de Contribuintes Estadual e/ou Municipal, relativa à sede do licitante, pertinente ao seu ramo de atividade e compatível com o objeto contratual;</w:t>
      </w:r>
    </w:p>
    <w:p>
      <w:pPr>
        <w:pStyle w:val="Standard"/>
        <w:spacing w:before="120" w:after="120"/>
        <w:jc w:val="both"/>
        <w:rPr/>
      </w:pPr>
      <w:r>
        <w:rPr>
          <w:rFonts w:eastAsia="Book Antiqua" w:cs="Book Antiqua" w:ascii="Book Antiqua" w:hAnsi="Book Antiqua"/>
          <w:sz w:val="18"/>
          <w:szCs w:val="18"/>
        </w:rPr>
        <w:t xml:space="preserve">f.1) </w:t>
      </w:r>
      <w:r>
        <w:rPr>
          <w:rFonts w:eastAsia="Book Antiqua" w:cs="Book Antiqua" w:ascii="Book Antiqua" w:hAnsi="Book Antiqua"/>
          <w:b/>
          <w:sz w:val="18"/>
          <w:szCs w:val="18"/>
          <w:u w:val="single"/>
        </w:rPr>
        <w:t>A comprovação de inscrição de contribuinte poderá se dar através de Alvará de Localização e Funcionamento</w:t>
      </w:r>
      <w:r>
        <w:rPr>
          <w:rFonts w:eastAsia="Book Antiqua" w:cs="Book Antiqua" w:ascii="Book Antiqua" w:hAnsi="Book Antiqua"/>
          <w:sz w:val="18"/>
          <w:szCs w:val="18"/>
        </w:rPr>
        <w:t>.</w:t>
      </w:r>
    </w:p>
    <w:p>
      <w:pPr>
        <w:pStyle w:val="Cabealho"/>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6.5.2. Prova de Regularidade relativa ao Fundo de Garantia por Tempo de Serviço (FGTS), e da Seguridade Social (INSS), demonstrando situação regular no cumprimento dos encargos sociais instituídos por lei, compreendendo:</w:t>
      </w:r>
    </w:p>
    <w:p>
      <w:pPr>
        <w:pStyle w:val="Cabealho"/>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a) CRS do FGTS.</w:t>
      </w:r>
    </w:p>
    <w:p>
      <w:pPr>
        <w:pStyle w:val="Cabealho"/>
        <w:spacing w:before="120" w:after="120"/>
        <w:jc w:val="both"/>
        <w:rPr>
          <w:rFonts w:ascii="Book Antiqua" w:hAnsi="Book Antiqua" w:eastAsia="Book Antiqua" w:cs="Book Antiqua"/>
          <w:sz w:val="18"/>
          <w:szCs w:val="18"/>
        </w:rPr>
      </w:pPr>
      <w:r>
        <w:rPr>
          <w:rFonts w:eastAsia="Book Antiqua" w:cs="Book Antiqua" w:ascii="Book Antiqua" w:hAnsi="Book Antiqua"/>
          <w:sz w:val="18"/>
          <w:szCs w:val="18"/>
        </w:rPr>
        <w:t>b) CND do INSS.</w:t>
      </w:r>
    </w:p>
    <w:p>
      <w:pPr>
        <w:pStyle w:val="Standard"/>
        <w:spacing w:before="120" w:after="120"/>
        <w:jc w:val="both"/>
        <w:rPr/>
      </w:pPr>
      <w:r>
        <w:rPr>
          <w:rFonts w:eastAsia="Book Antiqua" w:cs="Book Antiqua" w:ascii="Book Antiqua" w:hAnsi="Book Antiqua"/>
          <w:sz w:val="18"/>
          <w:szCs w:val="18"/>
          <w:shd w:fill="FFFFFF" w:val="clear"/>
        </w:rPr>
        <w:t xml:space="preserve">6.5.3. - Declaração da licitante, em cumprimento ao disposto no inciso XXXIII do artigo 7º da Constituição Federal, Lei nº 9.854/99 e no Decreto nº 4.358/2002, de que não emprega menor de 18 (dezoito) anos em trabalho noturno, perigoso ou insalubre e não emprega menor de 16 (dezesseis) anos, salvo na condição de aprendiz, a partir de 14 (quatorze anos) – </w:t>
      </w:r>
      <w:r>
        <w:rPr>
          <w:rFonts w:eastAsia="Book Antiqua" w:cs="Book Antiqua" w:ascii="Book Antiqua" w:hAnsi="Book Antiqua"/>
          <w:sz w:val="18"/>
          <w:szCs w:val="18"/>
        </w:rPr>
        <w:t>Anexo III.</w:t>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6.5.4 – A prova de regularidade deverá ser feita por Certidão Negativa ou Certidão Positiva com efeitos de Negativa;</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6.5.4.1. Considera-se Positiva com efeitos de Negativa a Certidão de que conste a existência de créditos não vencidos, em curso de cobrança executiva em que tenha sido efetivada a penhora; ou cuja exigibilidade esteja suspensa por moratória, ou depósito de seu montante integral, ou reclamações e recursos, nos termos das leis reguladoras do processo tributário administrativo ou concessão de medida liminar em mandado de segurança.</w:t>
      </w:r>
    </w:p>
    <w:p>
      <w:pPr>
        <w:pStyle w:val="Normal"/>
        <w:jc w:val="both"/>
        <w:rPr>
          <w:rFonts w:ascii="Book Antiqua" w:hAnsi="Book Antiqua" w:eastAsia="SimSun;???????????????????????" w:cs="Book Antiqua"/>
          <w:sz w:val="18"/>
          <w:szCs w:val="18"/>
        </w:rPr>
      </w:pPr>
      <w:r>
        <w:rPr>
          <w:rFonts w:eastAsia="SimSun;???????????????????????" w:cs="Book Antiqua" w:ascii="Book Antiqua" w:hAnsi="Book Antiqua"/>
          <w:sz w:val="18"/>
          <w:szCs w:val="18"/>
        </w:rPr>
      </w:r>
    </w:p>
    <w:p>
      <w:pPr>
        <w:pStyle w:val="Cabealho"/>
        <w:pBdr>
          <w:top w:val="single" w:sz="4" w:space="1" w:color="000000"/>
          <w:left w:val="single" w:sz="4" w:space="4" w:color="000000"/>
          <w:bottom w:val="single" w:sz="4" w:space="1" w:color="000000"/>
          <w:right w:val="single" w:sz="4" w:space="4" w:color="000000"/>
        </w:pBdr>
        <w:shd w:val="clear" w:color="auto" w:fill="E0E0E0"/>
        <w:jc w:val="center"/>
        <w:rPr/>
      </w:pPr>
      <w:r>
        <w:rPr>
          <w:rFonts w:cs="Book Antiqua" w:ascii="Book Antiqua" w:hAnsi="Book Antiqua"/>
          <w:b/>
          <w:sz w:val="18"/>
          <w:szCs w:val="18"/>
          <w:u w:val="single"/>
        </w:rPr>
        <w:t>6.6 QUALIFICAÇÃO ECONÔMICO</w:t>
      </w:r>
      <w:r>
        <w:rPr>
          <w:rFonts w:cs="Book Antiqua" w:ascii="Book Antiqua" w:hAnsi="Book Antiqua"/>
          <w:b/>
          <w:sz w:val="18"/>
          <w:szCs w:val="18"/>
        </w:rPr>
        <w:t xml:space="preserve"> –</w:t>
      </w:r>
      <w:r>
        <w:rPr>
          <w:rFonts w:cs="Book Antiqua" w:ascii="Book Antiqua" w:hAnsi="Book Antiqua"/>
          <w:b/>
          <w:sz w:val="18"/>
          <w:szCs w:val="18"/>
          <w:u w:val="single"/>
        </w:rPr>
        <w:t xml:space="preserve"> FINANCEIRA.</w:t>
      </w:r>
    </w:p>
    <w:p>
      <w:pPr>
        <w:pStyle w:val="Cabealho"/>
        <w:jc w:val="both"/>
        <w:rPr>
          <w:rFonts w:ascii="Book Antiqua" w:hAnsi="Book Antiqua" w:cs="Book Antiqua"/>
          <w:sz w:val="18"/>
          <w:szCs w:val="18"/>
        </w:rPr>
      </w:pPr>
      <w:r>
        <w:rPr>
          <w:rFonts w:cs="Book Antiqua" w:ascii="Book Antiqua" w:hAnsi="Book Antiqua"/>
          <w:sz w:val="18"/>
          <w:szCs w:val="18"/>
        </w:rPr>
      </w:r>
    </w:p>
    <w:p>
      <w:pPr>
        <w:pStyle w:val="Cabealho"/>
        <w:jc w:val="both"/>
        <w:rPr>
          <w:rFonts w:ascii="Book Antiqua" w:hAnsi="Book Antiqua" w:cs="Book Antiqua"/>
          <w:sz w:val="18"/>
          <w:szCs w:val="18"/>
        </w:rPr>
      </w:pPr>
      <w:r>
        <w:rPr>
          <w:rFonts w:cs="Book Antiqua" w:ascii="Book Antiqua" w:hAnsi="Book Antiqua"/>
          <w:sz w:val="18"/>
          <w:szCs w:val="18"/>
        </w:rPr>
        <w:t>6.6.1 Certidão negativa de falência ou recuperação judicial expedida pelo distribuidor da sede da licitante em plena validade, entregue no original, se houver determinação nesse sentido, em data não superior a 60 (sessenta) dias da data do certame.</w:t>
      </w:r>
    </w:p>
    <w:p>
      <w:pPr>
        <w:pStyle w:val="Cabealho"/>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6.6.2 Balanço patrimonial e demonstrações contábeis dos dois últimos exercícios, já exigíveis e apresentados na forma da Lei, que comprovem a boa situação financeira da empresa, vedada a sua substituição por balancetes ou balanços provisórios, podendo ser atualizados por índices oficiais quando encerrados há mais de três meses da data de apresentação da proposta.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6.6.2.1 Serão considerados aceitos como na forma da lei o balanço patrimonial e demonstrações contábeis assim apresentados:</w:t>
      </w:r>
    </w:p>
    <w:p>
      <w:pPr>
        <w:pStyle w:val="Estilo2"/>
        <w:ind w:left="0" w:hanging="0"/>
        <w:rPr>
          <w:rFonts w:ascii="Book Antiqua" w:hAnsi="Book Antiqua" w:cs="Book Antiqua"/>
          <w:b/>
          <w:b/>
          <w:sz w:val="18"/>
          <w:szCs w:val="18"/>
        </w:rPr>
      </w:pPr>
      <w:r>
        <w:rPr>
          <w:rFonts w:cs="Book Antiqua" w:ascii="Book Antiqua" w:hAnsi="Book Antiqua"/>
          <w:b/>
          <w:sz w:val="18"/>
          <w:szCs w:val="18"/>
        </w:rPr>
        <w:t>A – sociedades regidas pela Lei nº 6.404/76 (sociedade anônima):</w:t>
      </w:r>
    </w:p>
    <w:p>
      <w:pPr>
        <w:pStyle w:val="Estilo2"/>
        <w:ind w:left="0" w:hanging="0"/>
        <w:rPr/>
      </w:pPr>
      <w:r>
        <w:rPr>
          <w:rFonts w:cs="Book Antiqua" w:ascii="Book Antiqua" w:hAnsi="Book Antiqua"/>
          <w:b/>
          <w:sz w:val="18"/>
          <w:szCs w:val="18"/>
        </w:rPr>
        <w:t xml:space="preserve"> – </w:t>
      </w:r>
      <w:r>
        <w:rPr>
          <w:rFonts w:cs="Book Antiqua" w:ascii="Book Antiqua" w:hAnsi="Book Antiqua"/>
          <w:sz w:val="18"/>
          <w:szCs w:val="18"/>
        </w:rPr>
        <w:t>publicados em Diário Oficial; ou</w:t>
      </w:r>
    </w:p>
    <w:p>
      <w:pPr>
        <w:pStyle w:val="Estilo2"/>
        <w:ind w:left="0" w:hanging="0"/>
        <w:rPr>
          <w:rFonts w:ascii="Book Antiqua" w:hAnsi="Book Antiqua" w:cs="Book Antiqua"/>
          <w:sz w:val="18"/>
          <w:szCs w:val="18"/>
        </w:rPr>
      </w:pPr>
      <w:r>
        <w:rPr>
          <w:rFonts w:cs="Book Antiqua" w:ascii="Book Antiqua" w:hAnsi="Book Antiqua"/>
          <w:sz w:val="18"/>
          <w:szCs w:val="18"/>
        </w:rPr>
        <w:t xml:space="preserve"> – </w:t>
      </w:r>
      <w:r>
        <w:rPr>
          <w:rFonts w:cs="Book Antiqua" w:ascii="Book Antiqua" w:hAnsi="Book Antiqua"/>
          <w:sz w:val="18"/>
          <w:szCs w:val="18"/>
        </w:rPr>
        <w:t>publicados em jornal de grande circulação; ou</w:t>
      </w:r>
    </w:p>
    <w:p>
      <w:pPr>
        <w:pStyle w:val="Estilo2"/>
        <w:ind w:left="0" w:hanging="0"/>
        <w:rPr/>
      </w:pPr>
      <w:r>
        <w:rPr>
          <w:rFonts w:cs="Book Antiqua" w:ascii="Book Antiqua" w:hAnsi="Book Antiqua"/>
          <w:sz w:val="18"/>
          <w:szCs w:val="18"/>
        </w:rPr>
        <w:t xml:space="preserve"> – </w:t>
      </w:r>
      <w:r>
        <w:rPr>
          <w:rFonts w:cs="Book Antiqua" w:ascii="Book Antiqua" w:hAnsi="Book Antiqua"/>
          <w:sz w:val="18"/>
          <w:szCs w:val="18"/>
        </w:rPr>
        <w:t xml:space="preserve">por fotocópia registrada ou autenticada na Junta Comercial da sede ou domicílio do </w:t>
      </w:r>
      <w:r>
        <w:rPr>
          <w:rFonts w:cs="Book Antiqua" w:ascii="Book Antiqua" w:hAnsi="Book Antiqua"/>
          <w:b/>
          <w:sz w:val="18"/>
          <w:szCs w:val="18"/>
        </w:rPr>
        <w:t>licitante</w:t>
      </w:r>
      <w:r>
        <w:rPr>
          <w:rFonts w:cs="Book Antiqua" w:ascii="Book Antiqua" w:hAnsi="Book Antiqua"/>
          <w:sz w:val="18"/>
          <w:szCs w:val="18"/>
        </w:rPr>
        <w:t>.</w:t>
      </w:r>
    </w:p>
    <w:p>
      <w:pPr>
        <w:pStyle w:val="Estilo2"/>
        <w:ind w:left="0" w:hanging="0"/>
        <w:rPr>
          <w:rFonts w:ascii="Book Antiqua" w:hAnsi="Book Antiqua" w:cs="Book Antiqua"/>
          <w:b/>
          <w:b/>
          <w:sz w:val="18"/>
          <w:szCs w:val="18"/>
        </w:rPr>
      </w:pPr>
      <w:r>
        <w:rPr>
          <w:rFonts w:cs="Book Antiqua" w:ascii="Book Antiqua" w:hAnsi="Book Antiqua"/>
          <w:b/>
          <w:sz w:val="18"/>
          <w:szCs w:val="18"/>
        </w:rPr>
      </w:r>
    </w:p>
    <w:p>
      <w:pPr>
        <w:pStyle w:val="Estilo2"/>
        <w:ind w:left="0" w:hanging="0"/>
        <w:rPr>
          <w:rFonts w:ascii="Book Antiqua" w:hAnsi="Book Antiqua" w:cs="Book Antiqua"/>
          <w:b/>
          <w:b/>
          <w:sz w:val="18"/>
          <w:szCs w:val="18"/>
        </w:rPr>
      </w:pPr>
      <w:r>
        <w:rPr>
          <w:rFonts w:cs="Book Antiqua" w:ascii="Book Antiqua" w:hAnsi="Book Antiqua"/>
          <w:b/>
          <w:sz w:val="18"/>
          <w:szCs w:val="18"/>
        </w:rPr>
        <w:t>B – sociedades por cota de responsabilidade limitada (LTDA):</w:t>
      </w:r>
    </w:p>
    <w:p>
      <w:pPr>
        <w:pStyle w:val="Estilo2"/>
        <w:ind w:left="0" w:hanging="0"/>
        <w:rPr/>
      </w:pPr>
      <w:r>
        <w:rPr>
          <w:rFonts w:cs="Book Antiqua" w:ascii="Book Antiqua" w:hAnsi="Book Antiqua"/>
          <w:sz w:val="18"/>
          <w:szCs w:val="18"/>
        </w:rPr>
        <w:t xml:space="preserve"> – </w:t>
      </w:r>
      <w:r>
        <w:rPr>
          <w:rFonts w:cs="Book Antiqua" w:ascii="Book Antiqua" w:hAnsi="Book Antiqua"/>
          <w:sz w:val="18"/>
          <w:szCs w:val="18"/>
        </w:rPr>
        <w:t xml:space="preserve">por fotocópia do Balanço e das Demonstrações Contábeis, inclusive com os Termos de Abertura e de Encerramento do Livro Diário, devidamente autenticado na Junta Comercial da sede ou domicílio do </w:t>
      </w:r>
      <w:r>
        <w:rPr>
          <w:rFonts w:cs="Book Antiqua" w:ascii="Book Antiqua" w:hAnsi="Book Antiqua"/>
          <w:b/>
          <w:sz w:val="18"/>
          <w:szCs w:val="18"/>
        </w:rPr>
        <w:t>licitante</w:t>
      </w:r>
      <w:r>
        <w:rPr>
          <w:rFonts w:cs="Book Antiqua" w:ascii="Book Antiqua" w:hAnsi="Book Antiqua"/>
          <w:sz w:val="18"/>
          <w:szCs w:val="18"/>
        </w:rPr>
        <w:t xml:space="preserve"> ou em outro órgão equivalente. </w:t>
      </w:r>
      <w:r>
        <w:rPr>
          <w:rFonts w:cs="Book Antiqua" w:ascii="Book Antiqua" w:hAnsi="Book Antiqua"/>
          <w:b/>
          <w:sz w:val="18"/>
          <w:szCs w:val="18"/>
        </w:rPr>
        <w:t>(Observação, as Microempresa e Empresa de pequeno porte, não estão desobrigadas de apresentarem toda a qualificação econômica financeira exigida no edital )</w:t>
      </w:r>
    </w:p>
    <w:p>
      <w:pPr>
        <w:pStyle w:val="Estilo2"/>
        <w:ind w:left="0" w:hanging="0"/>
        <w:rPr>
          <w:rFonts w:ascii="Book Antiqua" w:hAnsi="Book Antiqua" w:cs="Book Antiqua"/>
          <w:b/>
          <w:b/>
          <w:sz w:val="18"/>
          <w:szCs w:val="18"/>
        </w:rPr>
      </w:pPr>
      <w:r>
        <w:rPr>
          <w:rFonts w:cs="Book Antiqua" w:ascii="Book Antiqua" w:hAnsi="Book Antiqua"/>
          <w:b/>
          <w:sz w:val="18"/>
          <w:szCs w:val="18"/>
        </w:rPr>
      </w:r>
    </w:p>
    <w:p>
      <w:pPr>
        <w:pStyle w:val="Estilo2"/>
        <w:ind w:left="0" w:hanging="0"/>
        <w:rPr>
          <w:rFonts w:ascii="Book Antiqua" w:hAnsi="Book Antiqua" w:cs="Book Antiqua"/>
          <w:b/>
          <w:b/>
          <w:sz w:val="18"/>
          <w:szCs w:val="18"/>
        </w:rPr>
      </w:pPr>
      <w:r>
        <w:rPr>
          <w:rFonts w:cs="Book Antiqua" w:ascii="Book Antiqua" w:hAnsi="Book Antiqua"/>
          <w:b/>
          <w:sz w:val="18"/>
          <w:szCs w:val="18"/>
        </w:rPr>
        <w:t>C – sociedades e pessoas jurídicas constituídas há menos de 2 (dois) anos, deverão apresentar a documentação relativa ao último exercício social.</w:t>
      </w:r>
    </w:p>
    <w:p>
      <w:pPr>
        <w:pStyle w:val="Estilo2"/>
        <w:ind w:left="0" w:hanging="0"/>
        <w:rPr>
          <w:rFonts w:ascii="Book Antiqua" w:hAnsi="Book Antiqua" w:cs="Book Antiqua"/>
          <w:sz w:val="18"/>
          <w:szCs w:val="18"/>
        </w:rPr>
      </w:pPr>
      <w:r>
        <w:rPr>
          <w:rFonts w:cs="Book Antiqua" w:ascii="Book Antiqua" w:hAnsi="Book Antiqua"/>
          <w:sz w:val="18"/>
          <w:szCs w:val="18"/>
        </w:rPr>
      </w:r>
    </w:p>
    <w:p>
      <w:pPr>
        <w:pStyle w:val="Estilo2"/>
        <w:ind w:left="0" w:hanging="0"/>
        <w:rPr>
          <w:rFonts w:ascii="Book Antiqua" w:hAnsi="Book Antiqua" w:cs="Book Antiqua"/>
          <w:sz w:val="18"/>
          <w:szCs w:val="18"/>
        </w:rPr>
      </w:pPr>
      <w:r>
        <w:rPr>
          <w:rFonts w:cs="Book Antiqua" w:ascii="Book Antiqua" w:hAnsi="Book Antiqua"/>
          <w:sz w:val="18"/>
          <w:szCs w:val="18"/>
        </w:rPr>
        <w:t>6.6.3 o balanço patrimonial e as demonstrações contábeis deverão estar assinados por contador ou por outro profissional equivalente, devidamente registrado no Conselho Regional de Contabilidade.</w:t>
      </w:r>
    </w:p>
    <w:p>
      <w:pPr>
        <w:pStyle w:val="Normal"/>
        <w:jc w:val="both"/>
        <w:rPr>
          <w:rFonts w:ascii="Book Antiqua" w:hAnsi="Book Antiqua" w:eastAsia="Book Antiqua" w:cs="Book Antiqua"/>
          <w:sz w:val="18"/>
          <w:szCs w:val="18"/>
        </w:rPr>
      </w:pPr>
      <w:r>
        <w:rPr>
          <w:rFonts w:eastAsia="Book Antiqua" w:cs="Book Antiqua" w:ascii="Book Antiqua" w:hAnsi="Book Antiqua"/>
          <w:sz w:val="18"/>
          <w:szCs w:val="18"/>
        </w:rPr>
        <w:t xml:space="preserve"> </w:t>
      </w:r>
    </w:p>
    <w:p>
      <w:pPr>
        <w:pStyle w:val="Normal"/>
        <w:rPr>
          <w:rFonts w:ascii="Book Antiqua" w:hAnsi="Book Antiqua" w:cs="Book Antiqua"/>
          <w:sz w:val="18"/>
          <w:szCs w:val="18"/>
        </w:rPr>
      </w:pPr>
      <w:r>
        <w:rPr>
          <w:rFonts w:cs="Book Antiqua" w:ascii="Book Antiqua" w:hAnsi="Book Antiqua"/>
          <w:sz w:val="18"/>
          <w:szCs w:val="18"/>
        </w:rPr>
        <w:t>6.6.4 A comprovação da boa situação econômico-financeiro da licitante será demonstrada com base nos seguintes parâmetros:</w:t>
      </w:r>
    </w:p>
    <w:p>
      <w:pPr>
        <w:pStyle w:val="Normal"/>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a) Índice de Liquidez Geral (LG), com valor igual ou superior a 1,00, onde:</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Ativo Circulante + Realizável a Longo Prazo</w:t>
      </w:r>
    </w:p>
    <w:p>
      <w:pPr>
        <w:pStyle w:val="Normal"/>
        <w:rPr/>
      </w:pPr>
      <w:r>
        <w:rPr>
          <w:rFonts w:eastAsia="Book Antiqua" w:cs="Book Antiqua" w:ascii="Book Antiqua" w:hAnsi="Book Antiqua"/>
          <w:sz w:val="18"/>
          <w:szCs w:val="18"/>
        </w:rPr>
        <w:t xml:space="preserve">              </w:t>
      </w:r>
      <w:r>
        <w:rPr>
          <w:rFonts w:cs="Book Antiqua" w:ascii="Book Antiqua" w:hAnsi="Book Antiqua"/>
          <w:sz w:val="18"/>
          <w:szCs w:val="18"/>
        </w:rPr>
        <w:tab/>
        <w:tab/>
        <w:tab/>
        <w:tab/>
        <w:t>LG= --------------------------------------------------------------</w:t>
      </w:r>
    </w:p>
    <w:p>
      <w:pPr>
        <w:pStyle w:val="Normal"/>
        <w:jc w:val="center"/>
        <w:rPr>
          <w:rFonts w:ascii="Book Antiqua" w:hAnsi="Book Antiqua" w:cs="Book Antiqua"/>
          <w:sz w:val="18"/>
          <w:szCs w:val="18"/>
        </w:rPr>
      </w:pPr>
      <w:r>
        <w:rPr>
          <w:rFonts w:cs="Book Antiqua" w:ascii="Book Antiqua" w:hAnsi="Book Antiqua"/>
          <w:sz w:val="18"/>
          <w:szCs w:val="18"/>
        </w:rPr>
        <w:t>Passivo Circulante + Exigível a Longo Prazo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b) Índice de Solvência Geral (SG), com valor igual ou superior a 1,00, onde:</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Ativo Total</w:t>
      </w:r>
    </w:p>
    <w:p>
      <w:pPr>
        <w:pStyle w:val="Normal"/>
        <w:jc w:val="center"/>
        <w:rPr/>
      </w:pPr>
      <w:r>
        <w:rPr>
          <w:rFonts w:eastAsia="Book Antiqua" w:cs="Book Antiqua" w:ascii="Book Antiqua" w:hAnsi="Book Antiqua"/>
          <w:sz w:val="18"/>
          <w:szCs w:val="18"/>
        </w:rPr>
        <w:t xml:space="preserve">          </w:t>
      </w:r>
      <w:r>
        <w:rPr>
          <w:rFonts w:cs="Book Antiqua" w:ascii="Book Antiqua" w:hAnsi="Book Antiqua"/>
          <w:sz w:val="18"/>
          <w:szCs w:val="18"/>
        </w:rPr>
        <w:t>SG= --------------------------------------------------------------</w:t>
      </w:r>
    </w:p>
    <w:p>
      <w:pPr>
        <w:pStyle w:val="Normal"/>
        <w:jc w:val="center"/>
        <w:rPr/>
      </w:pPr>
      <w:r>
        <w:rPr>
          <w:rFonts w:eastAsia="Book Antiqua" w:cs="Book Antiqua" w:ascii="Book Antiqua" w:hAnsi="Book Antiqua"/>
          <w:sz w:val="18"/>
          <w:szCs w:val="18"/>
        </w:rPr>
        <w:t xml:space="preserve">                  </w:t>
      </w:r>
      <w:r>
        <w:rPr>
          <w:rFonts w:cs="Book Antiqua" w:ascii="Book Antiqua" w:hAnsi="Book Antiqua"/>
          <w:sz w:val="18"/>
          <w:szCs w:val="18"/>
        </w:rPr>
        <w:t>Passivo Circulante + Exigível a Longo Prazo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 Índice de Liquidez Corrente (LC), com valor igual ou superior a 1,00, onde:</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Ativo Circulante</w:t>
      </w:r>
    </w:p>
    <w:p>
      <w:pPr>
        <w:pStyle w:val="Normal"/>
        <w:jc w:val="center"/>
        <w:rPr/>
      </w:pPr>
      <w:r>
        <w:rPr>
          <w:rFonts w:eastAsia="Book Antiqua" w:cs="Book Antiqua" w:ascii="Book Antiqua" w:hAnsi="Book Antiqua"/>
          <w:sz w:val="18"/>
          <w:szCs w:val="18"/>
        </w:rPr>
        <w:t xml:space="preserve">           </w:t>
      </w:r>
      <w:r>
        <w:rPr>
          <w:rFonts w:cs="Book Antiqua" w:ascii="Book Antiqua" w:hAnsi="Book Antiqua"/>
          <w:sz w:val="18"/>
          <w:szCs w:val="18"/>
        </w:rPr>
        <w:t>LC= -----------------------------------------------------------</w:t>
      </w:r>
    </w:p>
    <w:p>
      <w:pPr>
        <w:pStyle w:val="Normal"/>
        <w:jc w:val="center"/>
        <w:rPr>
          <w:rFonts w:ascii="Book Antiqua" w:hAnsi="Book Antiqua" w:cs="Book Antiqua"/>
          <w:sz w:val="18"/>
          <w:szCs w:val="18"/>
        </w:rPr>
      </w:pPr>
      <w:r>
        <w:rPr>
          <w:rFonts w:cs="Book Antiqua" w:ascii="Book Antiqua" w:hAnsi="Book Antiqua"/>
          <w:sz w:val="18"/>
          <w:szCs w:val="18"/>
        </w:rPr>
        <w:t>Passivo Circulante</w:t>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6.6.5 Todos os quocientes referidos nos itens supracitados (a, b, c) deverão ser apresentados, iguais ou superiores a 1 nos índices Liquidez Geral, Liquidez Corrente e Solvência Geral.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6.6.6 Comprovação de capital ou de patrimônio líquido mínimo não inferior a 10% (dez por cento) do valor estimado da contratação, por meio do balanço patrimonial e das demonstrações contábeis dos dois últimos exercícios sociais, apresentados na forma da lei, vedada a substituição por balancetes ou balanços provisórios, podendo ser atualizados por índices oficiais quando encerrados há mais de 3 (três) meses da data da sessão pública de abertura do certame;</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6.6.7 </w:t>
      </w:r>
      <w:r>
        <w:rPr>
          <w:rFonts w:cs="Arial" w:ascii="Book Antiqua" w:hAnsi="Book Antiqua"/>
          <w:sz w:val="18"/>
          <w:szCs w:val="18"/>
        </w:rPr>
        <w:t>Declaração contendo a relação de compromissos assumidos, demonstrando que 1/12 (um doze avos) do valor total dos contratos firmados com a ADMINISTRAÇÃO PÚBLICA e/ou com a iniciativa privada, vigentes na data prevista para apresentação da proposta, não é superior a 100% (cem por cento) do patrimônio líquido, podendo este ser atualizado na forma do item anterior;</w:t>
      </w:r>
    </w:p>
    <w:p>
      <w:pPr>
        <w:pStyle w:val="Normal"/>
        <w:rPr>
          <w:rFonts w:ascii="Book Antiqua" w:hAnsi="Book Antiqua" w:cs="Arial"/>
          <w:sz w:val="18"/>
          <w:szCs w:val="18"/>
        </w:rPr>
      </w:pPr>
      <w:r>
        <w:rPr>
          <w:rFonts w:cs="Arial" w:ascii="Book Antiqua" w:hAnsi="Book Antiqua"/>
          <w:sz w:val="18"/>
          <w:szCs w:val="18"/>
        </w:rPr>
      </w:r>
    </w:p>
    <w:p>
      <w:pPr>
        <w:pStyle w:val="Normal"/>
        <w:rPr>
          <w:rFonts w:ascii="Book Antiqua" w:hAnsi="Book Antiqua" w:cs="Arial"/>
          <w:sz w:val="18"/>
          <w:szCs w:val="18"/>
        </w:rPr>
      </w:pPr>
      <w:r>
        <w:rPr>
          <w:rFonts w:cs="Arial" w:ascii="Book Antiqua" w:hAnsi="Book Antiqua"/>
          <w:sz w:val="18"/>
          <w:szCs w:val="18"/>
        </w:rPr>
        <w:t>6.6.8 Com o objetivo de demonstrar a veracidade das informações prestadas no item anterior, o licitante deverá apresentar a Demonstração de Resultado do Exercício (DRE) referente ao último exercício social.</w:t>
      </w:r>
    </w:p>
    <w:p>
      <w:pPr>
        <w:pStyle w:val="Normal"/>
        <w:rPr>
          <w:rFonts w:ascii="Book Antiqua" w:hAnsi="Book Antiqua" w:cs="Arial"/>
          <w:sz w:val="18"/>
          <w:szCs w:val="18"/>
        </w:rPr>
      </w:pPr>
      <w:r>
        <w:rPr>
          <w:rFonts w:cs="Arial" w:ascii="Book Antiqua" w:hAnsi="Book Antiqua"/>
          <w:sz w:val="18"/>
          <w:szCs w:val="18"/>
        </w:rPr>
      </w:r>
    </w:p>
    <w:p>
      <w:pPr>
        <w:pStyle w:val="Normal"/>
        <w:jc w:val="both"/>
        <w:rPr>
          <w:rFonts w:ascii="Book Antiqua" w:hAnsi="Book Antiqua" w:cs="Arial"/>
          <w:sz w:val="18"/>
          <w:szCs w:val="18"/>
        </w:rPr>
      </w:pPr>
      <w:r>
        <w:rPr>
          <w:rFonts w:cs="Arial" w:ascii="Book Antiqua" w:hAnsi="Book Antiqua"/>
          <w:sz w:val="18"/>
          <w:szCs w:val="18"/>
        </w:rPr>
        <w:t>6.6.9 Caso seja detectada divergência no valor total dos contratos firmados com a ADMINISTRAÇÃO PÚBLICA e/ou com a iniciativa privada, informada na declaração de que trata o item 6.6.7 (para mais ou para menos) em relação à receita bruta discriminada na Demonstração de Resultado do Exercício (DRE), o licitante deverá apresentar os devidos esclarecimentos com a documentação referente à QUALIFICAÇÃO ECONÔMICO-FINANCEIRA – Art. 69 da Lei nº 14.133/2021.</w:t>
      </w:r>
    </w:p>
    <w:p>
      <w:pPr>
        <w:pStyle w:val="Normal"/>
        <w:jc w:val="both"/>
        <w:rPr>
          <w:rFonts w:ascii="Book Antiqua" w:hAnsi="Book Antiqua" w:cs="Arial"/>
          <w:sz w:val="18"/>
          <w:szCs w:val="18"/>
        </w:rPr>
      </w:pPr>
      <w:r>
        <w:rPr>
          <w:rFonts w:cs="Arial" w:ascii="Book Antiqua" w:hAnsi="Book Antiqua"/>
          <w:sz w:val="18"/>
          <w:szCs w:val="18"/>
        </w:rPr>
      </w:r>
    </w:p>
    <w:p>
      <w:pPr>
        <w:pStyle w:val="NormalWeb"/>
        <w:spacing w:before="280" w:after="280"/>
        <w:rPr/>
      </w:pPr>
      <w:r>
        <w:rPr>
          <w:sz w:val="20"/>
          <w:szCs w:val="20"/>
        </w:rPr>
        <w:t>6.6.10 Em se tratando de licitante reunida em consórcio, aplica-se o disposto o item 4.7. e 4.7.1 deste edital, sem prejuízo da aplicação das demais disposições contidas na legislação em vigor.</w:t>
      </w:r>
    </w:p>
    <w:p>
      <w:pPr>
        <w:pStyle w:val="Normal"/>
        <w:pBdr>
          <w:top w:val="single" w:sz="4" w:space="1" w:color="000000"/>
          <w:left w:val="single" w:sz="4" w:space="4" w:color="000000"/>
          <w:bottom w:val="single" w:sz="4" w:space="1" w:color="000000"/>
          <w:right w:val="single" w:sz="4" w:space="4" w:color="000000"/>
        </w:pBdr>
        <w:shd w:val="clear" w:color="auto" w:fill="E0E0E0"/>
        <w:jc w:val="center"/>
        <w:rPr/>
      </w:pPr>
      <w:r>
        <w:rPr>
          <w:rFonts w:cs="Book Antiqua" w:ascii="Book Antiqua" w:hAnsi="Book Antiqua"/>
          <w:b/>
          <w:caps/>
          <w:sz w:val="18"/>
          <w:szCs w:val="18"/>
        </w:rPr>
        <w:t xml:space="preserve">6.7 </w:t>
      </w:r>
      <w:r>
        <w:rPr>
          <w:rFonts w:cs="Book Antiqua" w:ascii="Book Antiqua" w:hAnsi="Book Antiqua"/>
          <w:b/>
          <w:caps/>
          <w:sz w:val="18"/>
          <w:szCs w:val="18"/>
          <w:u w:val="single"/>
        </w:rPr>
        <w:t>Qualificação Técnica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6.7.1 Com base no Estudo Técnico Preliminar – ETP e no </w:t>
      </w:r>
      <w:r>
        <w:rPr/>
        <w:t>Projeto Básico,</w:t>
      </w:r>
      <w:r>
        <w:rPr>
          <w:rFonts w:cs="Book Antiqua" w:ascii="Book Antiqua" w:hAnsi="Book Antiqua"/>
          <w:sz w:val="18"/>
          <w:szCs w:val="18"/>
        </w:rPr>
        <w:t xml:space="preserve"> a licitante bem como seus responsáveis técnicos deverão apresentar os seguintes documentos: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6.7.1.1 </w:t>
      </w:r>
      <w:r>
        <w:rPr>
          <w:rFonts w:ascii="Book Antiqua" w:hAnsi="Book Antiqua"/>
          <w:sz w:val="18"/>
          <w:szCs w:val="18"/>
        </w:rPr>
        <w:t>A empresa vencedora deverá fazer comprovação de aptidão para execução das obras, pertinentes e compatíveis em características com o objeto do Projeto Básico, e indicação das instalações, do aparelhamento e do pessoal técnico, adequados e disponíveis para realização do objeto do Projeto Básico, bem como da qualificação de cada um dos membros da equipe técnica que se responsabilizará pelos trabalhos, nos termos do art. 67, II e III da Lei nº 14.133, de 1º de abril de 2021.</w:t>
      </w:r>
    </w:p>
    <w:p>
      <w:pPr>
        <w:pStyle w:val="Normal"/>
        <w:jc w:val="both"/>
        <w:rPr>
          <w:rFonts w:ascii="Book Antiqua" w:hAnsi="Book Antiqua" w:cs="Century Gothic"/>
          <w:b/>
          <w:b/>
          <w:sz w:val="18"/>
          <w:szCs w:val="18"/>
        </w:rPr>
      </w:pPr>
      <w:r>
        <w:rPr>
          <w:rFonts w:cs="Century Gothic" w:ascii="Book Antiqua" w:hAnsi="Book Antiqua"/>
          <w:b/>
          <w:sz w:val="18"/>
          <w:szCs w:val="18"/>
        </w:rPr>
      </w:r>
    </w:p>
    <w:p>
      <w:pPr>
        <w:pStyle w:val="Normal"/>
        <w:rPr/>
      </w:pPr>
      <w:r>
        <w:rPr>
          <w:rFonts w:cs="Book Antiqua" w:ascii="Book Antiqua" w:hAnsi="Book Antiqua"/>
          <w:sz w:val="18"/>
          <w:szCs w:val="18"/>
        </w:rPr>
        <w:t xml:space="preserve">6.7.1.2 </w:t>
      </w:r>
      <w:r>
        <w:rPr>
          <w:rFonts w:ascii="Book Antiqua" w:hAnsi="Book Antiqua"/>
          <w:sz w:val="18"/>
          <w:szCs w:val="18"/>
        </w:rPr>
        <w:t>Certidão de Registro da licitante no Conselho Regional de Engenharia e Agronomia – CREA ou Conselho Regional de Arquitetura e Urbanismo – CAU, relativo a sede da licitante.</w:t>
      </w:r>
    </w:p>
    <w:p>
      <w:pPr>
        <w:pStyle w:val="A010177"/>
        <w:tabs>
          <w:tab w:val="clear" w:pos="708"/>
          <w:tab w:val="left" w:pos="426" w:leader="none"/>
        </w:tabs>
        <w:rPr/>
      </w:pPr>
      <w:r>
        <w:rPr/>
      </w:r>
    </w:p>
    <w:p>
      <w:pPr>
        <w:pStyle w:val="Normal"/>
        <w:jc w:val="both"/>
        <w:rPr/>
      </w:pPr>
      <w:r>
        <w:rPr>
          <w:rFonts w:cs="Book Antiqua" w:ascii="Book Antiqua" w:hAnsi="Book Antiqua"/>
          <w:sz w:val="18"/>
          <w:szCs w:val="18"/>
        </w:rPr>
        <w:t xml:space="preserve">6.7.1.3 </w:t>
      </w:r>
      <w:r>
        <w:rPr>
          <w:rFonts w:ascii="Book Antiqua" w:hAnsi="Book Antiqua"/>
          <w:sz w:val="18"/>
          <w:szCs w:val="18"/>
        </w:rPr>
        <w:t>Certidão de Registro do responsável técnico no Conselho Regional de Engenharia e Agronomia – CREA ou Conselho Regional de Arquitetura e Urbanismo – CAU, relativo a sede do profissional.</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6.7.1.4 </w:t>
      </w:r>
      <w:r>
        <w:rPr>
          <w:rFonts w:cs="Book Antiqua" w:ascii="Book Antiqua" w:hAnsi="Book Antiqua"/>
          <w:sz w:val="18"/>
          <w:szCs w:val="18"/>
        </w:rPr>
        <w:t>Comprovação que a licitante possuir em seu quadro de pessoal ou corpo diretivo, na data prevista para entrega da proposta, profissional de nível superior ou outro devidamente reconhecido pela entidade competente, detentor(es) de Atestado de capacidade Técnico acompanhado de Certidão de Acervo Técnico – CAT, ambos registrado no CREA ou CAU por execução de obra ou serviços de características semelhantes às do objeto licitado.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6.7.1.5 Quando se tratar de dirigente ou sócio da empresa Licitante, tal comprovação será feita por meio do ato constitutivo da mesma e certidão do CREA ou Conselho Profissional competente devidamente atualizada, no caso de prestador de serviços com contrato escrito firmado com o Licitante, será aceita a declaração de compromisso de vinculação contratual futura, caso o Licitante se sagre vencedor do certame.</w:t>
      </w:r>
    </w:p>
    <w:p>
      <w:pPr>
        <w:pStyle w:val="A010177"/>
        <w:tabs>
          <w:tab w:val="clear" w:pos="708"/>
          <w:tab w:val="left" w:pos="426" w:leader="none"/>
        </w:tabs>
        <w:rPr>
          <w:rFonts w:ascii="Book Antiqua" w:hAnsi="Book Antiqua"/>
          <w:sz w:val="18"/>
          <w:szCs w:val="18"/>
        </w:rPr>
      </w:pPr>
      <w:r>
        <w:rPr>
          <w:rFonts w:ascii="Book Antiqua" w:hAnsi="Book Antiqua"/>
          <w:sz w:val="18"/>
          <w:szCs w:val="18"/>
        </w:rPr>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t xml:space="preserve">6.7.1.6 A comprovação do vínculo profissional será efetuada mediante a apresentação, de cópia autenticada da </w:t>
        <w:tab/>
        <w:t xml:space="preserve">ficha de registro de empregado, com o respectivo carimbo do Ministério do Trabalho; registro em Carteira de </w:t>
        <w:tab/>
        <w:t xml:space="preserve">Trabalho e Previdência Social – CTPS, Contrato de Prestação de Serviços ou, ainda, qualquer outro meio admitido </w:t>
        <w:tab/>
        <w:t xml:space="preserve">pela legislação pertinente. Para os dirigentes de empresas, tal comprovação poderá ser feita através de cópia da </w:t>
        <w:tab/>
        <w:t>Ata da Assembleia em que se deu sua investidura no cargo ou, ainda, do contrato social. Os profissionais indicados pela empresa somente poderão participar como responsáveis técnicos por apenas 1 (uma) empresa, sendo inabilitadas as empresas que mencionarem o mesmo profissional para esta função.</w:t>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tab/>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t>6.7.1.7 Os profissionais indicados pela empresa para fins de comprovação da capacitação técnico-profissional deverão participar da obra, objeto da licitação, sendo admitida à substituição por profissionais de experiência equivalente ou superior, desde aprovado pela ADMINISTRAÇÃO PÚBLICA.</w:t>
      </w:r>
    </w:p>
    <w:p>
      <w:pPr>
        <w:pStyle w:val="A010177"/>
        <w:tabs>
          <w:tab w:val="clear" w:pos="708"/>
          <w:tab w:val="left" w:pos="426" w:leader="none"/>
        </w:tabs>
        <w:rPr>
          <w:rFonts w:ascii="Book Antiqua" w:hAnsi="Book Antiqua"/>
          <w:sz w:val="18"/>
          <w:szCs w:val="18"/>
        </w:rPr>
      </w:pPr>
      <w:r>
        <w:rPr>
          <w:rFonts w:ascii="Book Antiqua" w:hAnsi="Book Antiqua"/>
          <w:sz w:val="18"/>
          <w:szCs w:val="18"/>
        </w:rPr>
      </w:r>
    </w:p>
    <w:p>
      <w:pPr>
        <w:pStyle w:val="Normal"/>
        <w:jc w:val="both"/>
        <w:rPr/>
      </w:pPr>
      <w:r>
        <w:rPr>
          <w:rFonts w:cs="Book Antiqua" w:ascii="Book Antiqua" w:hAnsi="Book Antiqua"/>
          <w:sz w:val="18"/>
          <w:szCs w:val="18"/>
        </w:rPr>
        <w:t xml:space="preserve">6.7.1.8 </w:t>
      </w:r>
      <w:r>
        <w:rPr>
          <w:rFonts w:ascii="Book Antiqua" w:hAnsi="Book Antiqua"/>
          <w:sz w:val="18"/>
          <w:szCs w:val="18"/>
        </w:rPr>
        <w:t>Relação dos nomes da equipe técnica mínima, adequada e disponível para a realização do objeto do Projeto Básico , bem como da qualificação de cada um dos membros da equipe técnica que será designada e se responsabilizará pelos trabalhos, composta de no mínimo pelos profissionais arrolados na Administração de Obra constante no orçamento de referência em anexo.</w:t>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6.7.1.9 </w:t>
      </w:r>
      <w:r>
        <w:rPr>
          <w:rFonts w:ascii="Book Antiqua" w:hAnsi="Book Antiqua"/>
          <w:sz w:val="18"/>
          <w:szCs w:val="18"/>
        </w:rPr>
        <w:t>Declaração fornecida pela empresa indicando explicitamente pelo menos um responsável técnico para acompanhar a execução dos serviços. Na declaração deverão constar os dados mínimos necessários, tais como: nome completo, número do documento de identidade e do registro na entidade profissional competente da região a que estiver vinculado, endereço, telefone e e-mail.</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6.7.1.10 O nome do responsável técnico indicado deverá ser o mesmo que constar dos atestados de responsabilidade técnica.</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6.7.1.11 Declaração formal de disponibilidade de profissional(is) técnico(s) a ser emitido pela licitante de que os técnicos necessários para execução dos serviços de que trata o objeto desta licitação estarão disponíveis quando da contratação.</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6.7.1.12 Declaração formal de disponibilidade de máquinas, equipamentos, e mão de obra necessária para execução da obra/serviço. No entanto, para execução dessa licitação se faz necessário que a empresa apresente quais serão os equipamentos e mão de obras mínimas disponíveis para o futuro contrato. Deverá ser disponibilizada no mínimo 3 (três) equipes para atendimento das demandas, conforme cálculo apresentado no Anexo II, do Projeto Básico , em anexo. Os equipamentos deverão obrigatoriamente ser o suficiente para atender as frentes de trabalho de maneira plena.</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6.7.1.13 Declaração de que o licitante tomou conhecimento de todas as informações e das condições locais para o cumprimento das obrigações objeto da licitação.</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6.7.1.14 A declaração acima poderá ser substituída por declaração formal assinada pelo responsável técnico do licitante acerca do conhecimento pleno das condições e peculiaridades da contratação.</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6.7.1.15 Para comprovar a aptidão à execução do objeto a ser contratado, a LICITANTE deverá atender às exigências quanto à capacidade técnica operacional e à capacidade técnica profissional.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b/>
          <w:b/>
          <w:bCs/>
          <w:sz w:val="18"/>
          <w:szCs w:val="18"/>
        </w:rPr>
      </w:pPr>
      <w:r>
        <w:rPr>
          <w:rFonts w:ascii="Book Antiqua" w:hAnsi="Book Antiqua"/>
          <w:b/>
          <w:bCs/>
          <w:sz w:val="18"/>
          <w:szCs w:val="18"/>
        </w:rPr>
        <w:t>7. QUALIFICAÇÃO TÉCNICA OPERACIONAL</w:t>
      </w:r>
    </w:p>
    <w:p>
      <w:pPr>
        <w:pStyle w:val="A010177"/>
        <w:tabs>
          <w:tab w:val="clear" w:pos="708"/>
          <w:tab w:val="left" w:pos="426" w:leader="none"/>
        </w:tabs>
        <w:rPr>
          <w:rFonts w:ascii="Book Antiqua" w:hAnsi="Book Antiqua" w:cs="Book Antiqua"/>
          <w:b/>
          <w:b/>
          <w:bCs/>
          <w:sz w:val="18"/>
          <w:szCs w:val="18"/>
        </w:rPr>
      </w:pPr>
      <w:r>
        <w:rPr>
          <w:rFonts w:cs="Book Antiqua" w:ascii="Book Antiqua" w:hAnsi="Book Antiqua"/>
          <w:b/>
          <w:bCs/>
          <w:sz w:val="18"/>
          <w:szCs w:val="18"/>
        </w:rPr>
      </w:r>
    </w:p>
    <w:p>
      <w:pPr>
        <w:pStyle w:val="Normal"/>
        <w:jc w:val="both"/>
        <w:rPr/>
      </w:pPr>
      <w:r>
        <w:rPr>
          <w:rFonts w:cs="Book Antiqua" w:ascii="Book Antiqua" w:hAnsi="Book Antiqua"/>
          <w:sz w:val="18"/>
          <w:szCs w:val="18"/>
        </w:rPr>
        <w:t xml:space="preserve">7.1 </w:t>
      </w:r>
      <w:r>
        <w:rPr>
          <w:rFonts w:ascii="Book Antiqua" w:hAnsi="Book Antiqua"/>
          <w:sz w:val="18"/>
          <w:szCs w:val="18"/>
        </w:rPr>
        <w:t>Serão considerados todas as certidões ou atestados de obras e serviços e/ou similares ao objeto deste certame, com complexidade tecnológica e operacional equivalente ou superior, em que conste o licitante como contratado principal, bem como, os decorrentes de subcontratação ou cessão, se formalmente autorizados pelo contratante. Não serão aceitos atestados emitidos pelo próprio licitante. O(s) atestado(s) emitidos após 31 de março de 2023, deverá(ão) ter sido emitido(s) por pessoa jurídica de direito público ou privado, devidamente registrado(s) no CREA e deverá(ão) estar acompanhado(s) da(s) respectiva(s) Certidão(ões) de Acervo Operacional – CAO, conforme disposto no artigo 67 II da Lei 14133/21 e Resolução 1.137/2023 do CONFEA.</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7.2 A qualquer tempo, deverá ser demonstrado a comprovação de ter executado serviços similares e com as quantidades mínimas exigidas abaixo dos serviços mais relevantes do orçamento: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r>
    </w:p>
    <w:p>
      <w:pPr>
        <w:pStyle w:val="A010177"/>
        <w:tabs>
          <w:tab w:val="clear" w:pos="708"/>
          <w:tab w:val="left" w:pos="426" w:leader="none"/>
        </w:tabs>
        <w:rPr>
          <w:rFonts w:ascii="Book Antiqua" w:hAnsi="Book Antiqua"/>
          <w:sz w:val="18"/>
          <w:szCs w:val="18"/>
        </w:rPr>
      </w:pPr>
      <w:r>
        <w:rPr>
          <w:rFonts w:ascii="Book Antiqua" w:hAnsi="Book Antiqua"/>
          <w:sz w:val="18"/>
          <w:szCs w:val="18"/>
        </w:rPr>
      </w:r>
    </w:p>
    <w:tbl>
      <w:tblPr>
        <w:tblW w:w="992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719"/>
        <w:gridCol w:w="3791"/>
        <w:gridCol w:w="1132"/>
        <w:gridCol w:w="1594"/>
        <w:gridCol w:w="1295"/>
        <w:gridCol w:w="1391"/>
      </w:tblGrid>
      <w:tr>
        <w:trPr>
          <w:trHeight w:val="526" w:hRule="atLeast"/>
        </w:trPr>
        <w:tc>
          <w:tcPr>
            <w:tcW w:w="719"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ITENS</w:t>
            </w:r>
          </w:p>
        </w:tc>
        <w:tc>
          <w:tcPr>
            <w:tcW w:w="379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DESCRIÇÃO DOS SERVIÇOS</w:t>
            </w:r>
          </w:p>
        </w:tc>
        <w:tc>
          <w:tcPr>
            <w:tcW w:w="1132"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QUANT. ORÇADA</w:t>
            </w:r>
          </w:p>
        </w:tc>
        <w:tc>
          <w:tcPr>
            <w:tcW w:w="15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PERCENTUAL ORÇADO</w:t>
            </w:r>
          </w:p>
        </w:tc>
        <w:tc>
          <w:tcPr>
            <w:tcW w:w="1295"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QUANT. IGUAL OU SUPERIOR</w:t>
            </w:r>
          </w:p>
        </w:tc>
        <w:tc>
          <w:tcPr>
            <w:tcW w:w="139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PERCENTUAL REQUERIDO</w:t>
            </w:r>
          </w:p>
        </w:tc>
      </w:tr>
      <w:tr>
        <w:trPr>
          <w:trHeight w:val="578" w:hRule="atLeast"/>
        </w:trPr>
        <w:tc>
          <w:tcPr>
            <w:tcW w:w="719"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1</w:t>
            </w:r>
          </w:p>
        </w:tc>
        <w:tc>
          <w:tcPr>
            <w:tcW w:w="379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sz w:val="17"/>
                <w:szCs w:val="17"/>
              </w:rPr>
            </w:pPr>
            <w:r>
              <w:rPr>
                <w:rFonts w:ascii="Book Antiqua" w:hAnsi="Book Antiqua"/>
                <w:sz w:val="17"/>
                <w:szCs w:val="17"/>
              </w:rPr>
              <w:t xml:space="preserve">EXECUÇÃO DE PASSEIO (CALÇADA) OU PISO DE CONCRETO COM CONCRETO MOLDADO IN LOCO, FEITO EM OBRA, ACABAMENTO CONVENCIONAL, ESPESSURA 8 CM, ARMADO, COM ESPAÇADOR E LONA – CP BASEADA CÓDIGO SINAPI 94994 </w:t>
            </w:r>
          </w:p>
        </w:tc>
        <w:tc>
          <w:tcPr>
            <w:tcW w:w="1132"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1.980.30 M²</w:t>
            </w:r>
          </w:p>
        </w:tc>
        <w:tc>
          <w:tcPr>
            <w:tcW w:w="15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100%</w:t>
            </w:r>
          </w:p>
        </w:tc>
        <w:tc>
          <w:tcPr>
            <w:tcW w:w="1295"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990,15 M²</w:t>
            </w:r>
          </w:p>
        </w:tc>
        <w:tc>
          <w:tcPr>
            <w:tcW w:w="139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50%</w:t>
            </w:r>
          </w:p>
        </w:tc>
      </w:tr>
      <w:tr>
        <w:trPr>
          <w:trHeight w:val="995" w:hRule="atLeast"/>
        </w:trPr>
        <w:tc>
          <w:tcPr>
            <w:tcW w:w="719"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2</w:t>
            </w:r>
          </w:p>
        </w:tc>
        <w:tc>
          <w:tcPr>
            <w:tcW w:w="379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sz w:val="17"/>
                <w:szCs w:val="17"/>
              </w:rPr>
            </w:pPr>
            <w:r>
              <w:rPr>
                <w:rFonts w:ascii="Book Antiqua" w:hAnsi="Book Antiqua"/>
                <w:sz w:val="17"/>
                <w:szCs w:val="17"/>
              </w:rPr>
              <w:t xml:space="preserve">TAPUME COM TELHA METÁLICA. AF_03/2024 </w:t>
            </w:r>
          </w:p>
        </w:tc>
        <w:tc>
          <w:tcPr>
            <w:tcW w:w="1132"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2.171,18 M²</w:t>
            </w:r>
          </w:p>
        </w:tc>
        <w:tc>
          <w:tcPr>
            <w:tcW w:w="15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100%</w:t>
            </w:r>
          </w:p>
        </w:tc>
        <w:tc>
          <w:tcPr>
            <w:tcW w:w="1295"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1085,59 M²</w:t>
            </w:r>
          </w:p>
        </w:tc>
        <w:tc>
          <w:tcPr>
            <w:tcW w:w="139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50%</w:t>
            </w:r>
          </w:p>
        </w:tc>
      </w:tr>
      <w:tr>
        <w:trPr>
          <w:trHeight w:val="1218" w:hRule="atLeast"/>
        </w:trPr>
        <w:tc>
          <w:tcPr>
            <w:tcW w:w="719"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3</w:t>
            </w:r>
          </w:p>
        </w:tc>
        <w:tc>
          <w:tcPr>
            <w:tcW w:w="379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sz w:val="17"/>
                <w:szCs w:val="17"/>
              </w:rPr>
            </w:pPr>
            <w:r>
              <w:rPr>
                <w:rFonts w:ascii="Book Antiqua" w:hAnsi="Book Antiqua"/>
                <w:sz w:val="17"/>
                <w:szCs w:val="17"/>
              </w:rPr>
              <w:t xml:space="preserve">ESTRUTURA TRELIÇADA DE COBERTURA, TIPO FINK, COM LIGAÇÕES SOLDADAS, INCLUSOS PERFIS METÁLICOS, CHAPAS METÁLICAS, TRANSPORTE COM GUINDASTE, JATEAMENTO E PINTURA - CP BASEADA NO CÓDIGO SEINFRA C5216 </w:t>
            </w:r>
          </w:p>
        </w:tc>
        <w:tc>
          <w:tcPr>
            <w:tcW w:w="1132"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02</w:t>
            </w:r>
          </w:p>
          <w:p>
            <w:pPr>
              <w:pStyle w:val="Normal"/>
              <w:widowControl w:val="false"/>
              <w:jc w:val="center"/>
              <w:rPr>
                <w:rFonts w:ascii="Book Antiqua" w:hAnsi="Book Antiqua"/>
                <w:sz w:val="17"/>
                <w:szCs w:val="17"/>
              </w:rPr>
            </w:pPr>
            <w:r>
              <w:rPr>
                <w:rFonts w:ascii="Book Antiqua" w:hAnsi="Book Antiqua"/>
                <w:sz w:val="17"/>
                <w:szCs w:val="17"/>
              </w:rPr>
              <w:t>Un</w:t>
            </w:r>
          </w:p>
          <w:p>
            <w:pPr>
              <w:pStyle w:val="Normal"/>
              <w:widowControl w:val="false"/>
              <w:jc w:val="center"/>
              <w:rPr>
                <w:rFonts w:ascii="Book Antiqua" w:hAnsi="Book Antiqua"/>
                <w:sz w:val="17"/>
                <w:szCs w:val="17"/>
              </w:rPr>
            </w:pPr>
            <w:r>
              <w:rPr>
                <w:rFonts w:ascii="Book Antiqua" w:hAnsi="Book Antiqua"/>
                <w:sz w:val="17"/>
                <w:szCs w:val="17"/>
              </w:rPr>
            </w:r>
          </w:p>
        </w:tc>
        <w:tc>
          <w:tcPr>
            <w:tcW w:w="15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100%</w:t>
            </w:r>
          </w:p>
        </w:tc>
        <w:tc>
          <w:tcPr>
            <w:tcW w:w="1295"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01</w:t>
            </w:r>
          </w:p>
          <w:p>
            <w:pPr>
              <w:pStyle w:val="Normal"/>
              <w:widowControl w:val="false"/>
              <w:jc w:val="center"/>
              <w:rPr>
                <w:rFonts w:ascii="Book Antiqua" w:hAnsi="Book Antiqua"/>
                <w:sz w:val="17"/>
                <w:szCs w:val="17"/>
              </w:rPr>
            </w:pPr>
            <w:r>
              <w:rPr>
                <w:rFonts w:ascii="Book Antiqua" w:hAnsi="Book Antiqua"/>
                <w:sz w:val="17"/>
                <w:szCs w:val="17"/>
              </w:rPr>
              <w:t>Un</w:t>
            </w:r>
          </w:p>
          <w:p>
            <w:pPr>
              <w:pStyle w:val="Normal"/>
              <w:widowControl w:val="false"/>
              <w:jc w:val="center"/>
              <w:rPr>
                <w:rFonts w:ascii="Book Antiqua" w:hAnsi="Book Antiqua"/>
                <w:sz w:val="17"/>
                <w:szCs w:val="17"/>
              </w:rPr>
            </w:pPr>
            <w:r>
              <w:rPr>
                <w:rFonts w:ascii="Book Antiqua" w:hAnsi="Book Antiqua"/>
                <w:sz w:val="17"/>
                <w:szCs w:val="17"/>
              </w:rPr>
            </w:r>
          </w:p>
        </w:tc>
        <w:tc>
          <w:tcPr>
            <w:tcW w:w="139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50%</w:t>
            </w:r>
          </w:p>
        </w:tc>
      </w:tr>
      <w:tr>
        <w:trPr>
          <w:trHeight w:val="1218" w:hRule="atLeast"/>
        </w:trPr>
        <w:tc>
          <w:tcPr>
            <w:tcW w:w="719" w:type="dxa"/>
            <w:tcBorders>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4</w:t>
            </w:r>
          </w:p>
        </w:tc>
        <w:tc>
          <w:tcPr>
            <w:tcW w:w="3791" w:type="dxa"/>
            <w:tcBorders>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sz w:val="17"/>
                <w:szCs w:val="17"/>
              </w:rPr>
            </w:pPr>
            <w:r>
              <w:rPr>
                <w:rFonts w:ascii="Book Antiqua" w:hAnsi="Book Antiqua"/>
                <w:sz w:val="17"/>
                <w:szCs w:val="17"/>
              </w:rPr>
              <w:t xml:space="preserve">EXECUÇÃO DE PASSEIO EM PISO INTERTRAVADO, COM BLOCO RETANGULAR COR NATURAL DE 20 X 10 CM, ESPESSURA 6 CM. AF_10/2022 </w:t>
            </w:r>
          </w:p>
        </w:tc>
        <w:tc>
          <w:tcPr>
            <w:tcW w:w="1132" w:type="dxa"/>
            <w:tcBorders>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718,21 M²</w:t>
            </w:r>
          </w:p>
        </w:tc>
        <w:tc>
          <w:tcPr>
            <w:tcW w:w="1594" w:type="dxa"/>
            <w:tcBorders>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100%</w:t>
            </w:r>
          </w:p>
        </w:tc>
        <w:tc>
          <w:tcPr>
            <w:tcW w:w="1295" w:type="dxa"/>
            <w:tcBorders>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359,10 M²</w:t>
            </w:r>
          </w:p>
        </w:tc>
        <w:tc>
          <w:tcPr>
            <w:tcW w:w="1391" w:type="dxa"/>
            <w:tcBorders>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50%</w:t>
            </w:r>
          </w:p>
        </w:tc>
      </w:tr>
    </w:tbl>
    <w:p>
      <w:pPr>
        <w:pStyle w:val="Normal"/>
        <w:tabs>
          <w:tab w:val="clear" w:pos="708"/>
          <w:tab w:val="left" w:pos="426" w:leader="none"/>
        </w:tabs>
        <w:rPr/>
      </w:pPr>
      <w:r>
        <w:rPr/>
      </w:r>
    </w:p>
    <w:p>
      <w:pPr>
        <w:pStyle w:val="Normal"/>
        <w:tabs>
          <w:tab w:val="clear" w:pos="708"/>
          <w:tab w:val="left" w:pos="426" w:leader="none"/>
        </w:tabs>
        <w:jc w:val="both"/>
        <w:rPr/>
      </w:pPr>
      <w:r>
        <w:rPr/>
        <w:t xml:space="preserve">7.3 Atestados de Capacidade Técnica emitidos por </w:t>
      </w:r>
      <w:r>
        <w:rPr>
          <w:u w:val="single"/>
        </w:rPr>
        <w:t xml:space="preserve">pessoa física </w:t>
      </w:r>
      <w:r>
        <w:rPr/>
        <w:t>deverão seguir obrigatoriamente os critérios definidos abaixo:</w:t>
      </w:r>
    </w:p>
    <w:p>
      <w:pPr>
        <w:pStyle w:val="Normal"/>
        <w:tabs>
          <w:tab w:val="clear" w:pos="708"/>
          <w:tab w:val="left" w:pos="426" w:leader="none"/>
        </w:tabs>
        <w:jc w:val="both"/>
        <w:rPr/>
      </w:pPr>
      <w:r>
        <w:rPr/>
      </w:r>
    </w:p>
    <w:p>
      <w:pPr>
        <w:pStyle w:val="Normal"/>
        <w:tabs>
          <w:tab w:val="clear" w:pos="708"/>
          <w:tab w:val="left" w:pos="426" w:leader="none"/>
        </w:tabs>
        <w:jc w:val="both"/>
        <w:rPr/>
      </w:pPr>
      <w:r>
        <w:rPr/>
        <w:t>7.4 Os atestados apresentados para fins de comprovação de capacidade técnica deverão conter informações sobre a execução da obra ou prestação do serviço, contemplando dados qualitativos e quantitativos, devidamente declarados e assinados por profissional legalmente habilitado e com atribuições compatíveis, nos termos da legislação vigente, junto ao Sistema Confea/Crea (conforme Art. 59 da Resolução N° 1.137 de 2023 do Confea);</w:t>
      </w:r>
    </w:p>
    <w:p>
      <w:pPr>
        <w:pStyle w:val="Normal"/>
        <w:tabs>
          <w:tab w:val="clear" w:pos="708"/>
          <w:tab w:val="left" w:pos="426" w:leader="none"/>
        </w:tabs>
        <w:jc w:val="both"/>
        <w:rPr/>
      </w:pPr>
      <w:r>
        <w:rPr/>
      </w:r>
    </w:p>
    <w:p>
      <w:pPr>
        <w:pStyle w:val="Normal"/>
        <w:tabs>
          <w:tab w:val="clear" w:pos="708"/>
          <w:tab w:val="left" w:pos="426" w:leader="none"/>
        </w:tabs>
        <w:jc w:val="both"/>
        <w:rPr/>
      </w:pPr>
      <w:r>
        <w:rPr/>
        <w:t>7.5 Na hipótese de o contratante não dispor, em seu quadro técnico, de profissional legalmente habilitado o atestado apresentado deverá ser obrigatoriamente acompanhado de declaração emitida por profissional regularmente inscrito e com atribuições compatíveis no âmbito do Sistema Confea/Crea. Tal declaração deverá ratificar a veracidade e a conformidade dos dados técnicos, qualitativos e quantitativos constantes no referido atestado (conforme Art. 59, § 1º da Resolução N° 1 137 de 2023 do Confea)</w:t>
      </w:r>
    </w:p>
    <w:p>
      <w:pPr>
        <w:pStyle w:val="Normal"/>
        <w:tabs>
          <w:tab w:val="clear" w:pos="708"/>
          <w:tab w:val="left" w:pos="426" w:leader="none"/>
        </w:tabs>
        <w:jc w:val="both"/>
        <w:rPr/>
      </w:pPr>
      <w:r>
        <w:rPr/>
      </w:r>
    </w:p>
    <w:p>
      <w:pPr>
        <w:pStyle w:val="Normal"/>
        <w:tabs>
          <w:tab w:val="clear" w:pos="708"/>
          <w:tab w:val="left" w:pos="426" w:leader="none"/>
        </w:tabs>
        <w:jc w:val="both"/>
        <w:rPr/>
      </w:pPr>
      <w:r>
        <w:rPr/>
        <w:t>7.6 O atesto do profissional deverá estar acompanhado obrigatoriamente de Anotação de Responsabilidade Técnica (ART) que vincule e em caso de constatação de dados técnicos do atestado divergentes do praticado, o profissional estará sujeito às penalidades estabelecidas na legislação administrativa, civil e penal brasileira (conforme Art. 59, § 2º da Resolução N° 1.137 de 2023 do Confea).</w:t>
      </w:r>
    </w:p>
    <w:p>
      <w:pPr>
        <w:pStyle w:val="Normal"/>
        <w:tabs>
          <w:tab w:val="clear" w:pos="708"/>
          <w:tab w:val="left" w:pos="426" w:leader="none"/>
        </w:tabs>
        <w:jc w:val="both"/>
        <w:rPr/>
      </w:pPr>
      <w:r>
        <w:rPr/>
      </w:r>
    </w:p>
    <w:p>
      <w:pPr>
        <w:pStyle w:val="Normal"/>
        <w:tabs>
          <w:tab w:val="clear" w:pos="708"/>
          <w:tab w:val="left" w:pos="426" w:leader="none"/>
        </w:tabs>
        <w:jc w:val="both"/>
        <w:rPr>
          <w:rFonts w:ascii="Book Antiqua" w:hAnsi="Book Antiqua"/>
          <w:b/>
          <w:b/>
          <w:bCs/>
          <w:sz w:val="18"/>
          <w:szCs w:val="18"/>
        </w:rPr>
      </w:pPr>
      <w:r>
        <w:rPr/>
        <w:t>7.7 Não será admitido que o profissional responsável pelo atesto das informações, possua qualquer vínculo com a empresa contratada;</w:t>
        <w:br/>
        <w:br/>
      </w:r>
    </w:p>
    <w:p>
      <w:pPr>
        <w:pStyle w:val="Normal"/>
        <w:tabs>
          <w:tab w:val="clear" w:pos="708"/>
          <w:tab w:val="left" w:pos="426" w:leader="none"/>
        </w:tabs>
        <w:jc w:val="both"/>
        <w:rPr/>
      </w:pPr>
      <w:r>
        <w:rPr>
          <w:rFonts w:ascii="Book Antiqua" w:hAnsi="Book Antiqua"/>
          <w:b/>
          <w:bCs/>
          <w:sz w:val="18"/>
          <w:szCs w:val="18"/>
        </w:rPr>
        <w:t>8. QUALIFICAÇÃO TÉCNICO PROFISSIONAL</w:t>
      </w:r>
    </w:p>
    <w:p>
      <w:pPr>
        <w:pStyle w:val="Normal"/>
        <w:tabs>
          <w:tab w:val="clear" w:pos="708"/>
          <w:tab w:val="left" w:pos="426" w:leader="none"/>
        </w:tabs>
        <w:rPr/>
      </w:pPr>
      <w:r>
        <w:rPr/>
      </w:r>
    </w:p>
    <w:p>
      <w:pPr>
        <w:pStyle w:val="Normal"/>
        <w:tabs>
          <w:tab w:val="clear" w:pos="708"/>
          <w:tab w:val="left" w:pos="426" w:leader="none"/>
        </w:tabs>
        <w:jc w:val="both"/>
        <w:rPr/>
      </w:pPr>
      <w:r>
        <w:rPr>
          <w:rFonts w:ascii="Book Antiqua" w:hAnsi="Book Antiqua"/>
          <w:sz w:val="18"/>
          <w:szCs w:val="18"/>
        </w:rPr>
        <w:t>8.1 Comprovação de aptidão para o desempenho de atividade pertinente e compatível em características com o objeto da licitação, mediante apresentação de atestado(s) em nome de profissional(is) de nível superior ou outro devidamente reconhecido pela entidade competente, que tenha vínculo profissional formal com o Licitante, devidamente comprovado por documentação pertinente, na data prevista para a entrega da proposta. O(s) atestado(s) deverá(ão) ter sido emitido(s) por pessoa física, jurídica de direito público ou privado, devidamente registrado(s) no CREA e deverá(ão) estar acompanhado(s) da(s) respectiva(s) Certidão(ões) de Acervo Técnico – CAT.</w:t>
      </w:r>
    </w:p>
    <w:p>
      <w:pPr>
        <w:pStyle w:val="Normal"/>
        <w:tabs>
          <w:tab w:val="clear" w:pos="708"/>
          <w:tab w:val="left" w:pos="426" w:leader="none"/>
        </w:tabs>
        <w:jc w:val="both"/>
        <w:rPr>
          <w:rFonts w:ascii="Book Antiqua" w:hAnsi="Book Antiqua"/>
          <w:sz w:val="18"/>
          <w:szCs w:val="18"/>
        </w:rPr>
      </w:pPr>
      <w:r>
        <w:rPr>
          <w:rFonts w:ascii="Book Antiqua" w:hAnsi="Book Antiqua"/>
          <w:sz w:val="18"/>
          <w:szCs w:val="18"/>
        </w:rPr>
      </w:r>
    </w:p>
    <w:p>
      <w:pPr>
        <w:pStyle w:val="Normal"/>
        <w:tabs>
          <w:tab w:val="clear" w:pos="708"/>
          <w:tab w:val="left" w:pos="426" w:leader="none"/>
        </w:tabs>
        <w:jc w:val="both"/>
        <w:rPr/>
      </w:pPr>
      <w:r>
        <w:rPr>
          <w:rFonts w:ascii="Book Antiqua" w:hAnsi="Book Antiqua"/>
          <w:sz w:val="18"/>
          <w:szCs w:val="18"/>
        </w:rPr>
        <w:t>8.2 A qualquer tempo, o profissional demonstrará ter executado serviços/obras com as seguintes características similares ao objeto deste certame:</w:t>
      </w:r>
    </w:p>
    <w:p>
      <w:pPr>
        <w:pStyle w:val="Normal"/>
        <w:tabs>
          <w:tab w:val="clear" w:pos="708"/>
          <w:tab w:val="left" w:pos="426" w:leader="none"/>
        </w:tabs>
        <w:jc w:val="both"/>
        <w:rPr>
          <w:rFonts w:ascii="Book Antiqua" w:hAnsi="Book Antiqua"/>
          <w:sz w:val="18"/>
          <w:szCs w:val="18"/>
        </w:rPr>
      </w:pPr>
      <w:r>
        <w:rPr>
          <w:rFonts w:ascii="Book Antiqua" w:hAnsi="Book Antiqua"/>
          <w:sz w:val="18"/>
          <w:szCs w:val="18"/>
        </w:rPr>
      </w:r>
    </w:p>
    <w:tbl>
      <w:tblPr>
        <w:tblW w:w="1005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720"/>
        <w:gridCol w:w="3625"/>
        <w:gridCol w:w="1200"/>
        <w:gridCol w:w="1387"/>
        <w:gridCol w:w="1699"/>
        <w:gridCol w:w="1418"/>
      </w:tblGrid>
      <w:tr>
        <w:trPr>
          <w:trHeight w:val="631" w:hRule="atLeast"/>
        </w:trPr>
        <w:tc>
          <w:tcPr>
            <w:tcW w:w="72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ITENS</w:t>
            </w:r>
          </w:p>
        </w:tc>
        <w:tc>
          <w:tcPr>
            <w:tcW w:w="3625"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DESCRIÇÃO DOS SERVIÇOS</w:t>
            </w:r>
          </w:p>
        </w:tc>
        <w:tc>
          <w:tcPr>
            <w:tcW w:w="120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QUANT. ORÇADA</w:t>
            </w:r>
          </w:p>
        </w:tc>
        <w:tc>
          <w:tcPr>
            <w:tcW w:w="1387"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PERCENTUAL ORÇADO</w:t>
            </w:r>
          </w:p>
        </w:tc>
        <w:tc>
          <w:tcPr>
            <w:tcW w:w="1699"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QUANT. IGUAL OU SUPERIOR</w:t>
            </w:r>
          </w:p>
        </w:tc>
        <w:tc>
          <w:tcPr>
            <w:tcW w:w="1418"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7"/>
                <w:szCs w:val="17"/>
              </w:rPr>
            </w:pPr>
            <w:r>
              <w:rPr>
                <w:rFonts w:ascii="Book Antiqua" w:hAnsi="Book Antiqua"/>
                <w:sz w:val="17"/>
                <w:szCs w:val="17"/>
              </w:rPr>
              <w:t>PERCENTUAL REQUERIDO</w:t>
            </w:r>
          </w:p>
        </w:tc>
      </w:tr>
      <w:tr>
        <w:trPr>
          <w:trHeight w:val="1013" w:hRule="atLeast"/>
        </w:trPr>
        <w:tc>
          <w:tcPr>
            <w:tcW w:w="72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1</w:t>
            </w:r>
          </w:p>
        </w:tc>
        <w:tc>
          <w:tcPr>
            <w:tcW w:w="3625"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sz w:val="17"/>
                <w:szCs w:val="17"/>
              </w:rPr>
            </w:pPr>
            <w:r>
              <w:rPr>
                <w:rFonts w:ascii="Book Antiqua" w:hAnsi="Book Antiqua"/>
                <w:sz w:val="17"/>
                <w:szCs w:val="17"/>
              </w:rPr>
              <w:t xml:space="preserve">EXECUÇÃO DE PASSEIO (CALÇADA) OU PISO DE CONCRETO COM CONCRETO MOLDADO IN LOCO, FEITO EM OBRA, ACABAMENTO CONVENCIONAL, ESPESSURA 8 CM, ARMADO, COM ESPAÇADOR E LONA – CP BASEADA CÓDIGO SINAPI 94994 </w:t>
            </w:r>
          </w:p>
        </w:tc>
        <w:tc>
          <w:tcPr>
            <w:tcW w:w="120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 xml:space="preserve">1.980,30 M² </w:t>
            </w:r>
          </w:p>
        </w:tc>
        <w:tc>
          <w:tcPr>
            <w:tcW w:w="1387"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100%</w:t>
            </w:r>
          </w:p>
        </w:tc>
        <w:tc>
          <w:tcPr>
            <w:tcW w:w="1699"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cs="Arial"/>
                <w:sz w:val="18"/>
                <w:szCs w:val="18"/>
              </w:rPr>
            </w:pPr>
            <w:r>
              <w:rPr>
                <w:rFonts w:cs="Arial" w:ascii="Book Antiqua" w:hAnsi="Book Antiqua"/>
                <w:sz w:val="18"/>
                <w:szCs w:val="18"/>
              </w:rPr>
              <w:t>Experiência comprovada (Através de acervo técnico sem limite de quantidade)</w:t>
            </w:r>
          </w:p>
        </w:tc>
        <w:tc>
          <w:tcPr>
            <w:tcW w:w="1418"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 xml:space="preserve">-------------------- </w:t>
            </w:r>
          </w:p>
        </w:tc>
      </w:tr>
      <w:tr>
        <w:trPr>
          <w:trHeight w:val="845" w:hRule="atLeast"/>
        </w:trPr>
        <w:tc>
          <w:tcPr>
            <w:tcW w:w="72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2</w:t>
            </w:r>
          </w:p>
        </w:tc>
        <w:tc>
          <w:tcPr>
            <w:tcW w:w="3625"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sz w:val="17"/>
                <w:szCs w:val="17"/>
              </w:rPr>
            </w:pPr>
            <w:r>
              <w:rPr>
                <w:rFonts w:ascii="Book Antiqua" w:hAnsi="Book Antiqua"/>
                <w:sz w:val="17"/>
                <w:szCs w:val="17"/>
              </w:rPr>
              <w:t xml:space="preserve">TAPUME COM TELHA METÁLICA. AF_03/2024 </w:t>
            </w:r>
          </w:p>
        </w:tc>
        <w:tc>
          <w:tcPr>
            <w:tcW w:w="120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2.171,18 M²</w:t>
            </w:r>
          </w:p>
        </w:tc>
        <w:tc>
          <w:tcPr>
            <w:tcW w:w="1387"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 xml:space="preserve">100% </w:t>
            </w:r>
          </w:p>
        </w:tc>
        <w:tc>
          <w:tcPr>
            <w:tcW w:w="1699"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cs="Arial"/>
                <w:sz w:val="18"/>
                <w:szCs w:val="18"/>
              </w:rPr>
            </w:pPr>
            <w:r>
              <w:rPr>
                <w:rFonts w:cs="Arial" w:ascii="Book Antiqua" w:hAnsi="Book Antiqua"/>
                <w:sz w:val="18"/>
                <w:szCs w:val="18"/>
              </w:rPr>
              <w:t>Experiência comprovada (Através de acervo técnico sem limite de quantidade)</w:t>
            </w:r>
          </w:p>
        </w:tc>
        <w:tc>
          <w:tcPr>
            <w:tcW w:w="1418"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w:t>
            </w:r>
          </w:p>
        </w:tc>
      </w:tr>
      <w:tr>
        <w:trPr>
          <w:trHeight w:val="1130" w:hRule="atLeast"/>
        </w:trPr>
        <w:tc>
          <w:tcPr>
            <w:tcW w:w="72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3</w:t>
            </w:r>
          </w:p>
        </w:tc>
        <w:tc>
          <w:tcPr>
            <w:tcW w:w="3625"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sz w:val="17"/>
                <w:szCs w:val="17"/>
              </w:rPr>
            </w:pPr>
            <w:r>
              <w:rPr>
                <w:rFonts w:ascii="Book Antiqua" w:hAnsi="Book Antiqua"/>
                <w:sz w:val="17"/>
                <w:szCs w:val="17"/>
              </w:rPr>
              <w:t xml:space="preserve">ESTRUTURA TRELIÇADA DE COBERTURA, TIPO FINK, COM LIGAÇÕES SOLDADAS, INCLUSOS PERFIS METÁLICOS, CHAPAS METÁLICAS, TRANSPORTE COM GUINDASTE, JATEAMENTO E PINTURA – CP BASEADA NO CÓDIGO SEINFRA C5216 </w:t>
            </w:r>
          </w:p>
        </w:tc>
        <w:tc>
          <w:tcPr>
            <w:tcW w:w="120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 xml:space="preserve">02 Un </w:t>
            </w:r>
          </w:p>
        </w:tc>
        <w:tc>
          <w:tcPr>
            <w:tcW w:w="1387"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 xml:space="preserve">100% </w:t>
            </w:r>
          </w:p>
        </w:tc>
        <w:tc>
          <w:tcPr>
            <w:tcW w:w="1699"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cs="Arial"/>
                <w:sz w:val="18"/>
                <w:szCs w:val="18"/>
              </w:rPr>
            </w:pPr>
            <w:r>
              <w:rPr>
                <w:rFonts w:cs="Arial" w:ascii="Book Antiqua" w:hAnsi="Book Antiqua"/>
                <w:sz w:val="18"/>
                <w:szCs w:val="18"/>
              </w:rPr>
              <w:t>Experiência comprovada (Através de acervo técnico sem limite de quantidade)</w:t>
            </w:r>
          </w:p>
        </w:tc>
        <w:tc>
          <w:tcPr>
            <w:tcW w:w="1418"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w:t>
            </w:r>
          </w:p>
        </w:tc>
      </w:tr>
      <w:tr>
        <w:trPr>
          <w:trHeight w:val="1130" w:hRule="atLeast"/>
        </w:trPr>
        <w:tc>
          <w:tcPr>
            <w:tcW w:w="720" w:type="dxa"/>
            <w:tcBorders>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4</w:t>
            </w:r>
          </w:p>
        </w:tc>
        <w:tc>
          <w:tcPr>
            <w:tcW w:w="3625" w:type="dxa"/>
            <w:tcBorders>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sz w:val="17"/>
                <w:szCs w:val="17"/>
              </w:rPr>
            </w:pPr>
            <w:r>
              <w:rPr>
                <w:rFonts w:ascii="Book Antiqua" w:hAnsi="Book Antiqua"/>
                <w:sz w:val="17"/>
                <w:szCs w:val="17"/>
              </w:rPr>
              <w:t xml:space="preserve">EXECUÇÃO DE PASSEIO EM PISO INTERTRAVADO, COM BLOCO RETANGULAR COR NATURAL DE 20 X 10 CM, ESPESSURA 6 CM. AF_10/2022 </w:t>
            </w:r>
          </w:p>
        </w:tc>
        <w:tc>
          <w:tcPr>
            <w:tcW w:w="1200" w:type="dxa"/>
            <w:tcBorders>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 xml:space="preserve">718,21 M² </w:t>
            </w:r>
          </w:p>
        </w:tc>
        <w:tc>
          <w:tcPr>
            <w:tcW w:w="1387" w:type="dxa"/>
            <w:tcBorders>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 xml:space="preserve">100% </w:t>
            </w:r>
          </w:p>
        </w:tc>
        <w:tc>
          <w:tcPr>
            <w:tcW w:w="1699" w:type="dxa"/>
            <w:tcBorders>
              <w:left w:val="double" w:sz="4" w:space="0" w:color="000000"/>
              <w:bottom w:val="double" w:sz="4" w:space="0" w:color="000000"/>
              <w:right w:val="double" w:sz="4" w:space="0" w:color="000000"/>
            </w:tcBorders>
            <w:vAlign w:val="center"/>
          </w:tcPr>
          <w:p>
            <w:pPr>
              <w:pStyle w:val="Normal"/>
              <w:widowControl w:val="false"/>
              <w:jc w:val="both"/>
              <w:rPr>
                <w:rFonts w:ascii="Book Antiqua" w:hAnsi="Book Antiqua" w:cs="Arial"/>
                <w:sz w:val="18"/>
                <w:szCs w:val="18"/>
              </w:rPr>
            </w:pPr>
            <w:r>
              <w:rPr>
                <w:rFonts w:cs="Arial" w:ascii="Book Antiqua" w:hAnsi="Book Antiqua"/>
                <w:sz w:val="18"/>
                <w:szCs w:val="18"/>
              </w:rPr>
              <w:t>Experiência comprovada (Através de acervo técnico sem limite de quantidade)</w:t>
            </w:r>
          </w:p>
        </w:tc>
        <w:tc>
          <w:tcPr>
            <w:tcW w:w="1418" w:type="dxa"/>
            <w:tcBorders>
              <w:left w:val="double" w:sz="4" w:space="0" w:color="000000"/>
              <w:bottom w:val="double" w:sz="4" w:space="0" w:color="000000"/>
              <w:right w:val="double" w:sz="4" w:space="0" w:color="000000"/>
            </w:tcBorders>
            <w:vAlign w:val="center"/>
          </w:tcPr>
          <w:p>
            <w:pPr>
              <w:pStyle w:val="Normal"/>
              <w:widowControl w:val="false"/>
              <w:jc w:val="center"/>
              <w:rPr>
                <w:rFonts w:ascii="Book Antiqua" w:hAnsi="Book Antiqua"/>
                <w:sz w:val="17"/>
                <w:szCs w:val="17"/>
              </w:rPr>
            </w:pPr>
            <w:r>
              <w:rPr>
                <w:rFonts w:ascii="Book Antiqua" w:hAnsi="Book Antiqua"/>
                <w:sz w:val="17"/>
                <w:szCs w:val="17"/>
              </w:rPr>
              <w:t>---------------------</w:t>
            </w:r>
          </w:p>
        </w:tc>
      </w:tr>
    </w:tbl>
    <w:p>
      <w:pPr>
        <w:pStyle w:val="Normal"/>
        <w:tabs>
          <w:tab w:val="clear" w:pos="708"/>
          <w:tab w:val="left" w:pos="426" w:leader="none"/>
        </w:tabs>
        <w:rPr/>
      </w:pPr>
      <w:r>
        <w:rPr/>
      </w:r>
    </w:p>
    <w:p>
      <w:pPr>
        <w:pStyle w:val="Normal"/>
        <w:tabs>
          <w:tab w:val="clear" w:pos="708"/>
          <w:tab w:val="left" w:pos="426" w:leader="none"/>
        </w:tabs>
        <w:jc w:val="both"/>
        <w:rPr/>
      </w:pPr>
      <w:r>
        <w:rPr/>
        <w:t xml:space="preserve">8.3. Atestados de Capacidade Técnica emitidos por </w:t>
      </w:r>
      <w:r>
        <w:rPr>
          <w:u w:val="single"/>
        </w:rPr>
        <w:t xml:space="preserve">pessoa física </w:t>
      </w:r>
      <w:r>
        <w:rPr/>
        <w:t xml:space="preserve">deverão seguir obrigatoriamente os critérios definidos abaixo: </w:t>
      </w:r>
    </w:p>
    <w:p>
      <w:pPr>
        <w:pStyle w:val="Normal"/>
        <w:tabs>
          <w:tab w:val="clear" w:pos="708"/>
          <w:tab w:val="left" w:pos="426" w:leader="none"/>
        </w:tabs>
        <w:jc w:val="both"/>
        <w:rPr/>
      </w:pPr>
      <w:r>
        <w:rPr/>
      </w:r>
    </w:p>
    <w:p>
      <w:pPr>
        <w:pStyle w:val="Normal"/>
        <w:tabs>
          <w:tab w:val="clear" w:pos="708"/>
          <w:tab w:val="left" w:pos="426" w:leader="none"/>
        </w:tabs>
        <w:jc w:val="both"/>
        <w:rPr/>
      </w:pPr>
      <w:r>
        <w:rPr/>
        <w:t>8.4 Os atestados apresentados para fins de comprovação de capacidade técnica deverão conter informações sobre a execução da obra ou prestação do serviço, contemplando dados qualitativos e quantitativos, devidamente declarados e assinados por profissional legalmente habilitado e com atribuições compatíveis, nos termos da legislação vigente, junto ao Sistema Confea/Crea (conforme Art. 59 da Resolução N° 1.137 de 2023 do Confea);</w:t>
      </w:r>
    </w:p>
    <w:p>
      <w:pPr>
        <w:pStyle w:val="Normal"/>
        <w:tabs>
          <w:tab w:val="clear" w:pos="708"/>
          <w:tab w:val="left" w:pos="426" w:leader="none"/>
        </w:tabs>
        <w:jc w:val="both"/>
        <w:rPr/>
      </w:pPr>
      <w:r>
        <w:rPr/>
      </w:r>
    </w:p>
    <w:p>
      <w:pPr>
        <w:pStyle w:val="Normal"/>
        <w:tabs>
          <w:tab w:val="clear" w:pos="708"/>
          <w:tab w:val="left" w:pos="426" w:leader="none"/>
        </w:tabs>
        <w:jc w:val="both"/>
        <w:rPr/>
      </w:pPr>
      <w:r>
        <w:rPr/>
        <w:t>8.5 Na hipótese de o contratante não dispor, em seu quadro técnico, de profissional legalmente habilitado o atestado apresentado deverá ser obrigatoriamente acompanhado de declaração emitida por profissional regularmente inscrito e com atribuições compatíveis no âmbito do Sistema Confea/Crea. Tal declaração deverá ratificar a veracidade e a conformidade dos dados técnicos, qualitativos e quantitativos constantes no referido atestado (conforme Art. 59, § 1º da Resolução N° 1 137 de 2023 do Confea)</w:t>
      </w:r>
    </w:p>
    <w:p>
      <w:pPr>
        <w:pStyle w:val="Normal"/>
        <w:tabs>
          <w:tab w:val="clear" w:pos="708"/>
          <w:tab w:val="left" w:pos="426" w:leader="none"/>
        </w:tabs>
        <w:jc w:val="both"/>
        <w:rPr/>
      </w:pPr>
      <w:r>
        <w:rPr/>
      </w:r>
    </w:p>
    <w:p>
      <w:pPr>
        <w:pStyle w:val="Normal"/>
        <w:tabs>
          <w:tab w:val="clear" w:pos="708"/>
          <w:tab w:val="left" w:pos="426" w:leader="none"/>
        </w:tabs>
        <w:jc w:val="both"/>
        <w:rPr/>
      </w:pPr>
      <w:r>
        <w:rPr/>
        <w:t>8.6 O atesto do profissional deverá estar acompanhado obrigatoriamente de Anotação de Responsabilidade Técnica (ART) que vincule e em caso de constatação de dados técnicos do atestado divergentes do praticado, o profissional estará sujeito às penalidades estabelecidas na legislação administrativa, civil e penal brasileira (conforme Art. 59, § 2º da Resolução N° 1.137 de 2023 do Confea).</w:t>
      </w:r>
    </w:p>
    <w:p>
      <w:pPr>
        <w:pStyle w:val="Normal"/>
        <w:tabs>
          <w:tab w:val="clear" w:pos="708"/>
          <w:tab w:val="left" w:pos="426" w:leader="none"/>
        </w:tabs>
        <w:jc w:val="both"/>
        <w:rPr/>
      </w:pPr>
      <w:r>
        <w:rPr/>
      </w:r>
    </w:p>
    <w:p>
      <w:pPr>
        <w:pStyle w:val="Normal"/>
        <w:tabs>
          <w:tab w:val="clear" w:pos="708"/>
          <w:tab w:val="left" w:pos="426" w:leader="none"/>
        </w:tabs>
        <w:jc w:val="both"/>
        <w:rPr>
          <w:rFonts w:ascii="Book Antiqua" w:hAnsi="Book Antiqua" w:cs="Book Antiqua"/>
          <w:sz w:val="18"/>
          <w:szCs w:val="18"/>
          <w:shd w:fill="FFFF00" w:val="clear"/>
        </w:rPr>
      </w:pPr>
      <w:r>
        <w:rPr/>
        <w:t>8.7 Não será admitido que o profissional responsável pelo atesto das informações, possua qualquer vínculo com a empresa contratada;</w:t>
        <w:br/>
        <w:br/>
      </w:r>
    </w:p>
    <w:p>
      <w:pPr>
        <w:pStyle w:val="Normal"/>
        <w:tabs>
          <w:tab w:val="clear" w:pos="708"/>
          <w:tab w:val="left" w:pos="426" w:leader="none"/>
        </w:tabs>
        <w:rPr>
          <w:rFonts w:ascii="Book Antiqua" w:hAnsi="Book Antiqua" w:cs="Book Antiqua"/>
          <w:b/>
          <w:b/>
          <w:bCs/>
          <w:sz w:val="18"/>
          <w:szCs w:val="18"/>
        </w:rPr>
      </w:pPr>
      <w:r>
        <w:rPr>
          <w:rFonts w:cs="Book Antiqua" w:ascii="Book Antiqua" w:hAnsi="Book Antiqua"/>
          <w:b/>
          <w:bCs/>
          <w:sz w:val="18"/>
          <w:szCs w:val="18"/>
        </w:rPr>
        <w:t>8.8 OBSERVAÇÕES</w:t>
      </w:r>
    </w:p>
    <w:p>
      <w:pPr>
        <w:pStyle w:val="Normal"/>
        <w:tabs>
          <w:tab w:val="clear" w:pos="708"/>
          <w:tab w:val="left" w:pos="426" w:leader="none"/>
        </w:tabs>
        <w:rPr>
          <w:rFonts w:ascii="Book Antiqua" w:hAnsi="Book Antiqua" w:cs="Book Antiqua"/>
          <w:b/>
          <w:b/>
          <w:bCs/>
          <w:sz w:val="18"/>
          <w:szCs w:val="18"/>
        </w:rPr>
      </w:pPr>
      <w:r>
        <w:rPr>
          <w:rFonts w:cs="Book Antiqua" w:ascii="Book Antiqua" w:hAnsi="Book Antiqua"/>
          <w:b/>
          <w:bCs/>
          <w:sz w:val="18"/>
          <w:szCs w:val="18"/>
        </w:rPr>
      </w:r>
    </w:p>
    <w:p>
      <w:pPr>
        <w:pStyle w:val="Normal"/>
        <w:tabs>
          <w:tab w:val="clear" w:pos="708"/>
          <w:tab w:val="left" w:pos="426" w:leader="none"/>
        </w:tabs>
        <w:rPr/>
      </w:pPr>
      <w:r>
        <w:rPr>
          <w:rFonts w:cs="Book Antiqua" w:ascii="Book Antiqua" w:hAnsi="Book Antiqua"/>
          <w:sz w:val="18"/>
          <w:szCs w:val="18"/>
        </w:rPr>
        <w:t xml:space="preserve">8.8.1 Será admitido o somatório de atestados, desde que os atestados apresentem objetos semelhantes e apresentem atendimento aos requisitos do </w:t>
      </w:r>
      <w:r>
        <w:rPr>
          <w:rFonts w:cs="Book Antiqua" w:ascii="Book Antiqua" w:hAnsi="Book Antiqua"/>
          <w:b/>
          <w:bCs/>
          <w:sz w:val="18"/>
          <w:szCs w:val="18"/>
        </w:rPr>
        <w:t>item 7</w:t>
      </w:r>
      <w:r>
        <w:rPr>
          <w:rFonts w:cs="Book Antiqua" w:ascii="Book Antiqua" w:hAnsi="Book Antiqua"/>
          <w:sz w:val="18"/>
          <w:szCs w:val="18"/>
        </w:rPr>
        <w:t>, do Edital.</w:t>
      </w:r>
    </w:p>
    <w:p>
      <w:pPr>
        <w:pStyle w:val="Normal"/>
        <w:tabs>
          <w:tab w:val="clear" w:pos="708"/>
          <w:tab w:val="left" w:pos="426" w:leader="none"/>
        </w:tabs>
        <w:rPr>
          <w:rFonts w:ascii="Book Antiqua" w:hAnsi="Book Antiqua" w:cs="Book Antiqua"/>
          <w:b/>
          <w:b/>
          <w:bCs/>
          <w:sz w:val="18"/>
          <w:szCs w:val="18"/>
        </w:rPr>
      </w:pPr>
      <w:r>
        <w:rPr>
          <w:rFonts w:cs="Book Antiqua" w:ascii="Book Antiqua" w:hAnsi="Book Antiqua"/>
          <w:b/>
          <w:bCs/>
          <w:sz w:val="18"/>
          <w:szCs w:val="18"/>
        </w:rPr>
      </w:r>
    </w:p>
    <w:p>
      <w:pPr>
        <w:pStyle w:val="Normal"/>
        <w:tabs>
          <w:tab w:val="clear" w:pos="708"/>
          <w:tab w:val="left" w:pos="426" w:leader="none"/>
        </w:tabs>
        <w:jc w:val="both"/>
        <w:rPr>
          <w:rFonts w:ascii="Book Antiqua" w:hAnsi="Book Antiqua" w:cs="Book Antiqua"/>
          <w:sz w:val="18"/>
          <w:szCs w:val="18"/>
        </w:rPr>
      </w:pPr>
      <w:r>
        <w:rPr>
          <w:rFonts w:cs="Book Antiqua" w:ascii="Book Antiqua" w:hAnsi="Book Antiqua"/>
          <w:sz w:val="18"/>
          <w:szCs w:val="18"/>
        </w:rPr>
        <w:t>8.8.1.2 Apresentar somente o(s) atestado(s) e/ou certidão(ões) necessário(s) e suficiente(s) para a comprovação do exigido, e indicar com marca texto os itens que comprovarão as exigências. Somente serão aceitos atestados e/ou certidões de capacidade Técnico-Profissional devidamente registrados no CREA.</w:t>
      </w:r>
    </w:p>
    <w:p>
      <w:pPr>
        <w:pStyle w:val="Normal"/>
        <w:tabs>
          <w:tab w:val="clear" w:pos="708"/>
          <w:tab w:val="left" w:pos="426"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426" w:leader="none"/>
        </w:tabs>
        <w:jc w:val="both"/>
        <w:rPr>
          <w:rFonts w:ascii="Book Antiqua" w:hAnsi="Book Antiqua" w:cs="Book Antiqua"/>
          <w:sz w:val="18"/>
          <w:szCs w:val="18"/>
        </w:rPr>
      </w:pPr>
      <w:r>
        <w:rPr>
          <w:rFonts w:cs="Book Antiqua" w:ascii="Book Antiqua" w:hAnsi="Book Antiqua"/>
          <w:sz w:val="18"/>
          <w:szCs w:val="18"/>
        </w:rPr>
        <w:t>8.8.1.3 Caso sejam apresentados Atestados de Capacidade Técnica Operacional com data anterior a resolução 1.137/2023 do Confea, e que não possuam a CAO (Certidão de Acervo Operacional), estes deverão conter obrigatoriamente a ART (Anotação de Responsabilidade Técnica) com data compatível a execução da atividade.</w:t>
      </w:r>
    </w:p>
    <w:p>
      <w:pPr>
        <w:pStyle w:val="Normal"/>
        <w:tabs>
          <w:tab w:val="clear" w:pos="708"/>
          <w:tab w:val="left" w:pos="426"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426" w:leader="none"/>
        </w:tabs>
        <w:jc w:val="both"/>
        <w:rPr>
          <w:rFonts w:ascii="Book Antiqua" w:hAnsi="Book Antiqua" w:cs="Book Antiqua"/>
          <w:sz w:val="18"/>
          <w:szCs w:val="18"/>
        </w:rPr>
      </w:pPr>
      <w:r>
        <w:rPr>
          <w:rFonts w:cs="Book Antiqua" w:ascii="Book Antiqua" w:hAnsi="Book Antiqua"/>
          <w:sz w:val="18"/>
          <w:szCs w:val="18"/>
        </w:rPr>
        <w:t>8.8.1.4 Nos casos que a Licitante apresentar item similar ao exigido, recomenda-se ser emitida nota técnica que justifique de maneira objetiva a similaridade indicada. Recomenda-se o uso de documentos de cunho oficial como Caderno Técnico Sinapi e/ou referência Sicro.</w:t>
      </w:r>
    </w:p>
    <w:p>
      <w:pPr>
        <w:pStyle w:val="Normal"/>
        <w:tabs>
          <w:tab w:val="clear" w:pos="708"/>
          <w:tab w:val="left" w:pos="426"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426" w:leader="none"/>
        </w:tabs>
        <w:jc w:val="both"/>
        <w:rPr>
          <w:rFonts w:ascii="Book Antiqua" w:hAnsi="Book Antiqua" w:cs="Book Antiqua"/>
          <w:sz w:val="18"/>
          <w:szCs w:val="18"/>
        </w:rPr>
      </w:pPr>
      <w:r>
        <w:rPr>
          <w:rFonts w:cs="Book Antiqua" w:ascii="Book Antiqua" w:hAnsi="Book Antiqua"/>
          <w:sz w:val="18"/>
          <w:szCs w:val="18"/>
        </w:rPr>
        <w:t>8.8.1.5 Deverão ser observadas as seguintes condições na apresentação dos atestados:</w:t>
      </w:r>
    </w:p>
    <w:p>
      <w:pPr>
        <w:pStyle w:val="NoSpacing"/>
        <w:numPr>
          <w:ilvl w:val="0"/>
          <w:numId w:val="3"/>
        </w:numPr>
        <w:spacing w:lineRule="auto" w:line="276"/>
        <w:jc w:val="both"/>
        <w:rPr>
          <w:rFonts w:ascii="Book Antiqua" w:hAnsi="Book Antiqua"/>
          <w:sz w:val="18"/>
          <w:szCs w:val="18"/>
          <w:lang w:val="pt-BR"/>
        </w:rPr>
      </w:pPr>
      <w:r>
        <w:rPr>
          <w:rFonts w:ascii="Book Antiqua" w:hAnsi="Book Antiqua"/>
          <w:sz w:val="18"/>
          <w:szCs w:val="18"/>
          <w:lang w:val="pt-BR"/>
        </w:rPr>
        <w:t>Nome do Contratado e do Contratante;</w:t>
      </w:r>
    </w:p>
    <w:p>
      <w:pPr>
        <w:pStyle w:val="NoSpacing"/>
        <w:numPr>
          <w:ilvl w:val="0"/>
          <w:numId w:val="38"/>
        </w:numPr>
        <w:spacing w:lineRule="auto" w:line="276"/>
        <w:jc w:val="both"/>
        <w:rPr>
          <w:rFonts w:ascii="Book Antiqua" w:hAnsi="Book Antiqua"/>
          <w:sz w:val="18"/>
          <w:szCs w:val="18"/>
          <w:lang w:val="pt-BR"/>
        </w:rPr>
      </w:pPr>
      <w:r>
        <w:rPr>
          <w:rFonts w:ascii="Book Antiqua" w:hAnsi="Book Antiqua"/>
          <w:sz w:val="18"/>
          <w:szCs w:val="18"/>
          <w:lang w:val="pt-BR"/>
        </w:rPr>
        <w:t>Identificação do objeto do contrato (tipo ou natureza do serviço);</w:t>
      </w:r>
    </w:p>
    <w:p>
      <w:pPr>
        <w:pStyle w:val="NoSpacing"/>
        <w:numPr>
          <w:ilvl w:val="0"/>
          <w:numId w:val="39"/>
        </w:numPr>
        <w:spacing w:lineRule="auto" w:line="276"/>
        <w:jc w:val="both"/>
        <w:rPr>
          <w:rFonts w:ascii="Book Antiqua" w:hAnsi="Book Antiqua"/>
          <w:sz w:val="18"/>
          <w:szCs w:val="18"/>
          <w:lang w:val="pt-BR"/>
        </w:rPr>
      </w:pPr>
      <w:r>
        <w:rPr>
          <w:rFonts w:ascii="Book Antiqua" w:hAnsi="Book Antiqua"/>
          <w:sz w:val="18"/>
          <w:szCs w:val="18"/>
          <w:lang w:val="pt-BR"/>
        </w:rPr>
        <w:t>Localização do serviço;</w:t>
      </w:r>
    </w:p>
    <w:p>
      <w:pPr>
        <w:pStyle w:val="NoSpacing"/>
        <w:numPr>
          <w:ilvl w:val="0"/>
          <w:numId w:val="40"/>
        </w:numPr>
        <w:spacing w:lineRule="auto" w:line="276"/>
        <w:jc w:val="both"/>
        <w:rPr>
          <w:rFonts w:ascii="Book Antiqua" w:hAnsi="Book Antiqua"/>
          <w:sz w:val="18"/>
          <w:szCs w:val="18"/>
          <w:lang w:val="pt-BR"/>
        </w:rPr>
      </w:pPr>
      <w:r>
        <w:rPr>
          <w:rFonts w:ascii="Book Antiqua" w:hAnsi="Book Antiqua"/>
          <w:sz w:val="18"/>
          <w:szCs w:val="18"/>
          <w:lang w:val="pt-BR"/>
        </w:rPr>
        <w:t>Serviços Executados (discriminação e quantidades).</w:t>
      </w:r>
    </w:p>
    <w:p>
      <w:pPr>
        <w:pStyle w:val="NoSpacing"/>
        <w:spacing w:lineRule="auto" w:line="276"/>
        <w:ind w:left="720" w:hanging="0"/>
        <w:jc w:val="both"/>
        <w:rPr>
          <w:rFonts w:ascii="Book Antiqua" w:hAnsi="Book Antiqua"/>
          <w:sz w:val="18"/>
          <w:szCs w:val="18"/>
          <w:lang w:val="pt-BR"/>
        </w:rPr>
      </w:pPr>
      <w:r>
        <w:rPr>
          <w:rFonts w:ascii="Book Antiqua" w:hAnsi="Book Antiqua"/>
          <w:sz w:val="18"/>
          <w:szCs w:val="18"/>
          <w:lang w:val="pt-BR"/>
        </w:rPr>
      </w:r>
    </w:p>
    <w:p>
      <w:pPr>
        <w:pStyle w:val="NoSpacing"/>
        <w:spacing w:lineRule="auto" w:line="276"/>
        <w:jc w:val="both"/>
        <w:rPr>
          <w:rFonts w:ascii="Book Antiqua" w:hAnsi="Book Antiqua"/>
          <w:sz w:val="18"/>
          <w:szCs w:val="18"/>
          <w:lang w:val="pt-BR"/>
        </w:rPr>
      </w:pPr>
      <w:r>
        <w:rPr>
          <w:rFonts w:ascii="Book Antiqua" w:hAnsi="Book Antiqua"/>
          <w:sz w:val="18"/>
          <w:szCs w:val="18"/>
          <w:lang w:val="pt-BR"/>
        </w:rPr>
        <w:t>8.8.1.5 Será admitida a participação de consórcios nos termos do art. 15 da Lei nº 14.133, de 1º de abril de 2021, para possibilitar o reforço da capacidade técnica e financeira do licitante, proporcionando maior disponibilidade de equipamento e pessoal especializado. O consórcio ainda enseja a participação de maior número de empresas, possibilitando o aumento na competitividade.</w:t>
      </w:r>
    </w:p>
    <w:p>
      <w:pPr>
        <w:pStyle w:val="NoSpacing"/>
        <w:spacing w:lineRule="auto" w:line="276"/>
        <w:jc w:val="both"/>
        <w:rPr>
          <w:rFonts w:ascii="Book Antiqua" w:hAnsi="Book Antiqua"/>
          <w:sz w:val="18"/>
          <w:szCs w:val="18"/>
          <w:lang w:val="pt-BR"/>
        </w:rPr>
      </w:pPr>
      <w:r>
        <w:rPr>
          <w:rFonts w:ascii="Book Antiqua" w:hAnsi="Book Antiqua"/>
          <w:sz w:val="18"/>
          <w:szCs w:val="18"/>
          <w:lang w:val="pt-BR"/>
        </w:rPr>
      </w:r>
    </w:p>
    <w:p>
      <w:pPr>
        <w:pStyle w:val="NoSpacing"/>
        <w:spacing w:lineRule="auto" w:line="276"/>
        <w:jc w:val="both"/>
        <w:rPr>
          <w:rFonts w:ascii="Book Antiqua" w:hAnsi="Book Antiqua"/>
          <w:sz w:val="18"/>
          <w:szCs w:val="18"/>
          <w:lang w:val="pt-BR"/>
        </w:rPr>
      </w:pPr>
      <w:r>
        <w:rPr>
          <w:rFonts w:ascii="Book Antiqua" w:hAnsi="Book Antiqua"/>
          <w:sz w:val="18"/>
          <w:szCs w:val="18"/>
          <w:lang w:val="pt-BR"/>
        </w:rPr>
        <w:t>8.8.1.6 Será permitida a participação de empresas estrangeiras, cuja permissão será devidamente amparada na legislação pátria, e fundamenta-se na possibilidade de elastecer a oferta para a Administração Pública com aumento da quantidade de licitantes. Por consequência, possibilitará a formalização de contratos mais vantajosos, com melhores preços e melhores técnicas, trazendo à CONTRATANTE, economia e execução de maior qualidade.</w:t>
      </w:r>
    </w:p>
    <w:p>
      <w:pPr>
        <w:pStyle w:val="NoSpacing"/>
        <w:spacing w:lineRule="auto" w:line="276"/>
        <w:jc w:val="both"/>
        <w:rPr>
          <w:rFonts w:ascii="Book Antiqua" w:hAnsi="Book Antiqua"/>
          <w:sz w:val="18"/>
          <w:szCs w:val="18"/>
          <w:lang w:val="pt-BR"/>
        </w:rPr>
      </w:pPr>
      <w:r>
        <w:rPr>
          <w:rFonts w:ascii="Book Antiqua" w:hAnsi="Book Antiqua"/>
          <w:sz w:val="18"/>
          <w:szCs w:val="18"/>
          <w:lang w:val="pt-BR"/>
        </w:rPr>
      </w:r>
    </w:p>
    <w:p>
      <w:pPr>
        <w:pStyle w:val="Normal"/>
        <w:tabs>
          <w:tab w:val="clear" w:pos="708"/>
          <w:tab w:val="left" w:pos="426" w:leader="none"/>
        </w:tabs>
        <w:spacing w:lineRule="auto" w:line="276"/>
        <w:jc w:val="both"/>
        <w:rPr>
          <w:rFonts w:ascii="Book Antiqua" w:hAnsi="Book Antiqua"/>
          <w:sz w:val="18"/>
          <w:szCs w:val="18"/>
        </w:rPr>
      </w:pPr>
      <w:r>
        <w:rPr>
          <w:rFonts w:cs="Book Antiqua" w:ascii="Book Antiqua" w:hAnsi="Book Antiqua"/>
          <w:sz w:val="18"/>
          <w:szCs w:val="18"/>
          <w:shd w:fill="FFFFFF" w:val="clear"/>
        </w:rPr>
        <w:t>8.8.1.7 Aos li</w:t>
      </w:r>
      <w:r>
        <w:rPr>
          <w:rFonts w:cs="Book Antiqua" w:ascii="Book Antiqua" w:hAnsi="Book Antiqua"/>
          <w:sz w:val="18"/>
          <w:szCs w:val="18"/>
        </w:rPr>
        <w:t>citantes vinculados ao CREA, estes deverão apresentar a Certidão de Acervo Operacional – CAO, acompanhados dos atestados emitidos após 31 de março de 2023, conforme Resolução nº 1.137, de 31 de março de 2023 – Confea.</w:t>
      </w:r>
    </w:p>
    <w:p>
      <w:pPr>
        <w:pStyle w:val="A010177"/>
        <w:tabs>
          <w:tab w:val="clear" w:pos="708"/>
          <w:tab w:val="left" w:pos="426" w:leader="none"/>
        </w:tabs>
        <w:rPr>
          <w:rFonts w:ascii="Book Antiqua" w:hAnsi="Book Antiqua"/>
          <w:sz w:val="18"/>
          <w:szCs w:val="18"/>
        </w:rPr>
      </w:pPr>
      <w:r>
        <w:rPr>
          <w:rFonts w:ascii="Book Antiqua" w:hAnsi="Book Antiqua"/>
          <w:sz w:val="18"/>
          <w:szCs w:val="18"/>
        </w:rPr>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t>8.8.1.8 Aos licitantes vinculados ao CAU, estes deverão apresentar a Certidão de Acervo Operacional – CAT-O, acompanhados dos atestados emitidos após primeiro de março de 2024, conforme Resolução nº 243, de 20 de outubro de 2023 – CAU/BR.</w:t>
      </w:r>
    </w:p>
    <w:p>
      <w:pPr>
        <w:pStyle w:val="A010177"/>
        <w:tabs>
          <w:tab w:val="clear" w:pos="708"/>
          <w:tab w:val="left" w:pos="426" w:leader="none"/>
        </w:tabs>
        <w:rPr>
          <w:rFonts w:ascii="Book Antiqua" w:hAnsi="Book Antiqua"/>
          <w:sz w:val="18"/>
          <w:szCs w:val="18"/>
        </w:rPr>
      </w:pPr>
      <w:r>
        <w:rPr>
          <w:rFonts w:ascii="Book Antiqua" w:hAnsi="Book Antiqua"/>
          <w:sz w:val="18"/>
          <w:szCs w:val="18"/>
        </w:rPr>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t>8.8.1.9 Relação com indicação do pessoal técnico, das instalações e do aparelhamento adequado e disponíveis para a realização do objeto da licitação, bem como da qualificação de cada membro da equipe técnica que se responsabilizará pelos trabalhos.</w:t>
      </w:r>
    </w:p>
    <w:p>
      <w:pPr>
        <w:pStyle w:val="A010177"/>
        <w:tabs>
          <w:tab w:val="clear" w:pos="708"/>
          <w:tab w:val="left" w:pos="426" w:leader="none"/>
        </w:tabs>
        <w:rPr>
          <w:rFonts w:ascii="Book Antiqua" w:hAnsi="Book Antiqua"/>
          <w:sz w:val="18"/>
          <w:szCs w:val="18"/>
        </w:rPr>
      </w:pPr>
      <w:r>
        <w:rPr>
          <w:rFonts w:ascii="Book Antiqua" w:hAnsi="Book Antiqua"/>
          <w:sz w:val="18"/>
          <w:szCs w:val="18"/>
        </w:rPr>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t>8.8.1.10 Declaração de que o licitante tomou conhecimento de todas as informações e das condições locais para o cumprimento das obrigações objeto da licitação.</w:t>
      </w:r>
    </w:p>
    <w:p>
      <w:pPr>
        <w:pStyle w:val="A010177"/>
        <w:tabs>
          <w:tab w:val="clear" w:pos="708"/>
          <w:tab w:val="left" w:pos="426" w:leader="none"/>
        </w:tabs>
        <w:rPr>
          <w:rFonts w:ascii="Book Antiqua" w:hAnsi="Book Antiqua"/>
          <w:sz w:val="18"/>
          <w:szCs w:val="18"/>
        </w:rPr>
      </w:pPr>
      <w:r>
        <w:rPr>
          <w:rFonts w:ascii="Book Antiqua" w:hAnsi="Book Antiqua"/>
          <w:sz w:val="18"/>
          <w:szCs w:val="18"/>
        </w:rPr>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t>8.8.1.11 Relação dos compromissos assumidos pelo licitante que importem em diminuição da disponibilidade do pessoal técnico.</w:t>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r>
    </w:p>
    <w:p>
      <w:pPr>
        <w:pStyle w:val="A010177"/>
        <w:tabs>
          <w:tab w:val="clear" w:pos="708"/>
          <w:tab w:val="left" w:pos="426" w:leader="none"/>
        </w:tabs>
        <w:rPr>
          <w:rFonts w:ascii="Book Antiqua" w:hAnsi="Book Antiqua" w:cs="Book Antiqua"/>
          <w:sz w:val="18"/>
          <w:szCs w:val="18"/>
        </w:rPr>
      </w:pPr>
      <w:r>
        <w:rPr>
          <w:rFonts w:cs="Book Antiqua" w:ascii="Book Antiqua" w:hAnsi="Book Antiqua"/>
          <w:sz w:val="18"/>
          <w:szCs w:val="18"/>
        </w:rPr>
        <w:t>8.8.1.12 Não serão admitidos atestados de capacidade técnica operacional sem a presença de anotação de responsabilidade técnica (ART) devidamente emitida em data correspondente ao atestado. Outros tipos de comprovações poderão ser anexadas, desde que devidamente justificada.</w:t>
      </w:r>
    </w:p>
    <w:p>
      <w:pPr>
        <w:pStyle w:val="Normal"/>
        <w:tabs>
          <w:tab w:val="clear" w:pos="708"/>
          <w:tab w:val="left" w:pos="426" w:leader="none"/>
        </w:tabs>
        <w:spacing w:lineRule="auto" w:line="276"/>
        <w:jc w:val="both"/>
        <w:rPr>
          <w:rFonts w:ascii="Book Antiqua" w:hAnsi="Book Antiqua" w:cs="Century Gothic"/>
          <w:sz w:val="18"/>
          <w:szCs w:val="18"/>
        </w:rPr>
      </w:pPr>
      <w:r>
        <w:rPr>
          <w:rFonts w:cs="Century Gothic"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pPr>
      <w:r>
        <w:rPr>
          <w:rFonts w:cs="Book Antiqua" w:ascii="Book Antiqua" w:hAnsi="Book Antiqua"/>
          <w:b/>
          <w:caps/>
          <w:sz w:val="18"/>
          <w:szCs w:val="18"/>
        </w:rPr>
        <w:t xml:space="preserve">9.8. </w:t>
      </w:r>
      <w:r>
        <w:rPr>
          <w:rFonts w:cs="Book Antiqua" w:ascii="Book Antiqua" w:hAnsi="Book Antiqua"/>
          <w:b/>
          <w:caps/>
          <w:sz w:val="18"/>
          <w:szCs w:val="18"/>
          <w:u w:val="single"/>
        </w:rPr>
        <w:t>Documentação complementar</w:t>
      </w:r>
    </w:p>
    <w:p>
      <w:pPr>
        <w:pStyle w:val="Normal"/>
        <w:ind w:firstLine="282"/>
        <w:jc w:val="both"/>
        <w:rPr>
          <w:rFonts w:ascii="Book Antiqua" w:hAnsi="Book Antiqua" w:cs="Book Antiqua"/>
          <w:b/>
          <w:b/>
          <w:sz w:val="18"/>
          <w:szCs w:val="18"/>
        </w:rPr>
      </w:pPr>
      <w:r>
        <w:rPr>
          <w:rFonts w:cs="Book Antiqua" w:ascii="Book Antiqua" w:hAnsi="Book Antiqua"/>
          <w:b/>
          <w:sz w:val="18"/>
          <w:szCs w:val="18"/>
        </w:rPr>
      </w:r>
    </w:p>
    <w:p>
      <w:pPr>
        <w:pStyle w:val="Normal"/>
        <w:rPr>
          <w:rFonts w:ascii="Book Antiqua" w:hAnsi="Book Antiqua" w:cs="Book Antiqua"/>
          <w:sz w:val="18"/>
          <w:szCs w:val="18"/>
        </w:rPr>
      </w:pPr>
      <w:r>
        <w:rPr>
          <w:rFonts w:cs="Book Antiqua" w:ascii="Book Antiqua" w:hAnsi="Book Antiqua"/>
          <w:sz w:val="18"/>
          <w:szCs w:val="18"/>
        </w:rPr>
        <w:t>9.8.1 Declaração de Inexistência de Fatos Impeditivos a Habilitação, conforme modelo ANEXO III, do Edital.</w:t>
      </w:r>
    </w:p>
    <w:p>
      <w:pPr>
        <w:pStyle w:val="Normal"/>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9.8.2 Declaração da licitante de que não possui em seu quadro de dirigentes: membro dos Poderes Executivo, Legislativo, Judiciário, do Ministério Público, do Tribunal de Contas do Estado, bem como seus respectivos cônjuges, companheiros, e parentes em linha reta, colateral ou por afinidade até o 2º grau – ANEXO V, do Edital.</w:t>
      </w:r>
    </w:p>
    <w:p>
      <w:pPr>
        <w:pStyle w:val="Normal"/>
        <w:jc w:val="both"/>
        <w:rPr>
          <w:rFonts w:ascii="Book Antiqua" w:hAnsi="Book Antiqua" w:cs="Book Antiqua"/>
          <w:sz w:val="18"/>
          <w:szCs w:val="18"/>
          <w:shd w:fill="CCCCCC" w:val="clear"/>
        </w:rPr>
      </w:pPr>
      <w:r>
        <w:rPr>
          <w:rFonts w:cs="Book Antiqua" w:ascii="Book Antiqua" w:hAnsi="Book Antiqua"/>
          <w:sz w:val="18"/>
          <w:szCs w:val="18"/>
          <w:shd w:fill="CCCCCC" w:val="clear"/>
        </w:rPr>
      </w:r>
    </w:p>
    <w:p>
      <w:pPr>
        <w:pStyle w:val="Normal"/>
        <w:jc w:val="both"/>
        <w:rPr>
          <w:rFonts w:ascii="Book Antiqua" w:hAnsi="Book Antiqua" w:cs="Book Antiqua"/>
          <w:sz w:val="18"/>
          <w:szCs w:val="18"/>
          <w:shd w:fill="FFFFFF" w:val="clear"/>
        </w:rPr>
      </w:pPr>
      <w:r>
        <w:rPr>
          <w:rFonts w:cs="Book Antiqua" w:ascii="Book Antiqua" w:hAnsi="Book Antiqua"/>
          <w:sz w:val="18"/>
          <w:szCs w:val="18"/>
          <w:shd w:fill="FFFFFF" w:val="clear"/>
        </w:rPr>
        <w:t>9.8.3 Declaração de que se responsabiliza pelos serviços elétricos e no momento em que for necessário se compromete e se responsabiliza na contratação de um profissional devidamente habilitado, no caso de obras que necessitará deste profissional.</w:t>
      </w:r>
    </w:p>
    <w:p>
      <w:pPr>
        <w:pStyle w:val="Normal"/>
        <w:jc w:val="both"/>
        <w:rPr>
          <w:rFonts w:ascii="Book Antiqua" w:hAnsi="Book Antiqua" w:cs="Book Antiqua"/>
          <w:sz w:val="18"/>
          <w:szCs w:val="18"/>
          <w:shd w:fill="FFFFFF" w:val="clear"/>
        </w:rPr>
      </w:pPr>
      <w:r>
        <w:rPr>
          <w:rFonts w:cs="Book Antiqua" w:ascii="Book Antiqua" w:hAnsi="Book Antiqua"/>
          <w:sz w:val="18"/>
          <w:szCs w:val="18"/>
          <w:shd w:fill="FFFFFF" w:val="clear"/>
        </w:rPr>
      </w:r>
    </w:p>
    <w:p>
      <w:pPr>
        <w:pStyle w:val="Normal"/>
        <w:jc w:val="both"/>
        <w:rPr>
          <w:rFonts w:ascii="Book Antiqua" w:hAnsi="Book Antiqua" w:cs="Book Antiqua"/>
          <w:sz w:val="18"/>
          <w:szCs w:val="18"/>
          <w:shd w:fill="FFFFFF" w:val="clear"/>
        </w:rPr>
      </w:pPr>
      <w:r>
        <w:rPr>
          <w:rFonts w:cs="Book Antiqua" w:ascii="Book Antiqua" w:hAnsi="Book Antiqua"/>
          <w:sz w:val="18"/>
          <w:szCs w:val="18"/>
          <w:shd w:fill="FFFFFF" w:val="clear"/>
        </w:rPr>
        <w:t>9.8.4 Declaração fornecida pela empresa indicando explicitamente pelo menos um responsável técnico para acompanhar a execução dos serviços.</w:t>
      </w:r>
    </w:p>
    <w:p>
      <w:pPr>
        <w:pStyle w:val="Normal"/>
        <w:jc w:val="both"/>
        <w:rPr>
          <w:rFonts w:ascii="Book Antiqua" w:hAnsi="Book Antiqua" w:cs="Book Antiqua"/>
          <w:sz w:val="18"/>
          <w:szCs w:val="18"/>
          <w:shd w:fill="FFFF00" w:val="clear"/>
        </w:rPr>
      </w:pPr>
      <w:r>
        <w:rPr>
          <w:rFonts w:cs="Book Antiqua" w:ascii="Book Antiqua" w:hAnsi="Book Antiqua"/>
          <w:sz w:val="18"/>
          <w:szCs w:val="18"/>
          <w:shd w:fill="FFFF00" w:val="clear"/>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10. DA ABERTURA DA SESSÃO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Arial" w:ascii="Book Antiqua" w:hAnsi="Book Antiqua"/>
          <w:sz w:val="18"/>
          <w:szCs w:val="18"/>
        </w:rPr>
        <w:t>10.1 A abertura da presente licitação dar-se-á automaticamente em sessão pública, por meio de sistema eletrônico, na data, horário e local indicados neste Edital.</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10.1.1 De modo a garantir a melhor oferta à administração pública será adotado o método de disputa “ABERTO”, com envio de lances na licitação, os licitantes apresentarão lances públicos e sucessivos, com prorrogações. Tal modo de disputa visa a promoção da competição e da transparência. Essa abordagem pode resultar em processos de aquisição mais eficientes, que atendam às necessidades da administração pública e ofereçam melhores resultados.</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10.2 Os licitantes poderão retirar ou substituir a proposta ou os documentos de habilitação, quando for o caso, anteriormente inseridos no sistema, até a abertura da sessão pública.</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10.3 O sistema disponibilizará campo próprio para troca de mensagens entre o Agente de Contratação.</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10.4 Iniciada a etapa competitiva, os licitantes deverão encaminhar lances exclusivamente por meio de sistema eletrônico, sendo imediatamente informados do seu recebimento e do valor consignado no registro.</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10.4.1 A etapa de lances da sessão pública terá duração de dez minutos e, após isso, será prorrogada automaticamente pelo sistema quando houver lance ofertado nos últimos dois minutos do período de duração da sessão pública.</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10.4.2 A prorrogação automática da etapa de lances, de que trata o item 7.4.2, será de dois minutos e ocorrerá sucessivamente sempre que houver lances enviados nesse período de prorrogação, inclusive no caso de lances intermediários.</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10.5 O lance deverá ser ofertado pelo valor unitário do item.</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10.6 Os licitantes poderão oferecer lances sucessivos, observando o horário fixado para abertura da sessão e as regras estabelecidas no Edital.</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10.7 O licitante somente poderá oferecer lance de valor inferior ou percentual de desconto superior ao último por ele ofertado e registrado pelo sistema.</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10.8 Nos termos do Art. 57 da Lei nº 14.133 de 2021, o intervalo mínimo de lances será de R$ 1.000,00 (mil reais).</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10.9 O licitante poderá, uma única vez, excluir seu último lance ofertado, no intervalo de quinze segundos após o registro no sistema, na hipótese de lance inconsistente ou inexequível.</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10.10 Na hipótese de haver propostas iguais prevalecerá como de menor valor o lance que tiver sido primeiramente registrado;</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10.11 Durante a sessão pública, os licitantes serão informados, em tempo real, do valor do menor valor registrado, vedada a identificação do licitante;</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10.12 Não havendo novos lances na forma estabelecida nos itens anteriores, a sessão pública encerrar-se-á automaticamente, e o sistema ordenará e divulgará os lances conforme a ordem de classificação.</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10.13 Definida a melhor proposta, se a diferença em relação à proposta classificada em segundo lugar for de pelo menos 5% (cinco por cento), o Agente de Contratação, auxiliado pela equipe de apoio, poderá admitir o reinício da disputa aberta, nos termos estabelecidos no edital de licitação, para a definição das demais colocações.</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10.14 Após o reinício previsto no 7.13, os licitantes serão convocados para apresentar lances intermediários, podendo optar por manter o seu último lance.</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10.15 Quando houver um único licitante ou uma única proposta válida, caberá ao Agente de Contratação, verificar a aceitabilidade do(s) preço(s) ofertado(s);</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10.16 No caso de desconexão com o Agente de Contratação, no decorrer da sessão, o sistema eletrônico poderá permanecer acessível aos licitantes para a recepção de mensagens e documentos solicitados via diligência;</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10.16.1 Quando a desconexão do sistema eletrônico para o Agente de Contratação persistir por tempo superior a dez minutos, a sessão pública será suspensa e reiniciada podendo se da comunicação do fato pelo Agente de Contratação aos participantes, no sítio eletrônico utilizado para divulgação;</w:t>
      </w:r>
    </w:p>
    <w:p>
      <w:pPr>
        <w:pStyle w:val="Normal"/>
        <w:jc w:val="both"/>
        <w:rPr>
          <w:rFonts w:ascii="Book Antiqua" w:hAnsi="Book Antiqua" w:cs="Arial"/>
          <w:sz w:val="18"/>
          <w:szCs w:val="18"/>
        </w:rPr>
      </w:pPr>
      <w:r>
        <w:rPr>
          <w:rFonts w:cs="Arial" w:ascii="Book Antiqua" w:hAnsi="Book Antiqua"/>
          <w:sz w:val="18"/>
          <w:szCs w:val="18"/>
        </w:rPr>
      </w:r>
    </w:p>
    <w:p>
      <w:pPr>
        <w:pStyle w:val="Normal"/>
        <w:jc w:val="both"/>
        <w:rPr/>
      </w:pPr>
      <w:r>
        <w:rPr>
          <w:rFonts w:cs="Arial" w:ascii="Book Antiqua" w:hAnsi="Book Antiqua"/>
          <w:sz w:val="18"/>
          <w:szCs w:val="18"/>
        </w:rPr>
        <w:t>10.17 Nessas condições, as propostas de empresas de pequeno porte que se encontrarem na faixa de até 10% (dez por cento) acima da melhor proposta serão conside</w:t>
      </w:r>
      <w:r>
        <w:rPr>
          <w:rFonts w:cs="Book Antiqua" w:ascii="Book Antiqua" w:hAnsi="Book Antiqua"/>
          <w:sz w:val="18"/>
          <w:szCs w:val="18"/>
        </w:rPr>
        <w:t>radas empatadas com a primeira colocada.</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10.17.1 Caso a empresa de pequeno porte melhor classificada desista ou não se manifeste no prazo estabelecido, serão convocadas as demais licitantes, empresas de pequeno porte, que se encontrem naquele intervalo de 10% (dez por cento), na ordem de classificação, para o exercício do mesmo direito, no prazo estabelecido no subitem anterior.</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10.17.2 No caso de equivalência dos valores apresentados pelas empresas de pequeno porte que se encontrem nos intervalos estabelecidos nos subitens anteriores, será realizado sorteio entre elas para que se identifique aquela que primeiro poderá apresentar melhor oferta.</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bCs/>
          <w:sz w:val="18"/>
          <w:szCs w:val="18"/>
        </w:rPr>
      </w:pPr>
      <w:r>
        <w:rPr>
          <w:rFonts w:cs="Book Antiqua" w:ascii="Book Antiqua" w:hAnsi="Book Antiqua"/>
          <w:b/>
          <w:bCs/>
          <w:sz w:val="18"/>
          <w:szCs w:val="18"/>
        </w:rPr>
        <w:t>10.18 DA NEGOCIAÇÃO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10.18.1. Após o encerramento da sessão estando o valor da melhor proposta acima do valor de referência, o Agente de Contratação negociará a redução do preço com o seu detentor.</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10.18.2. A negociação será realizada por meio do sistema e poderá ser acompanhada pelas demais licitantes;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10.18.3. O sistema informará a proposta de menor preço global do lote único e a decisão pelo Agente de Contratação acerca da aceitação do menor valor;</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10.18.4. A proposta apresentada terá que refletir preços equivalentes aos praticados no mercado;</w:t>
      </w:r>
    </w:p>
    <w:p>
      <w:pPr>
        <w:pStyle w:val="Normal"/>
        <w:jc w:val="both"/>
        <w:rPr>
          <w:rFonts w:ascii="Book Antiqua" w:hAnsi="Book Antiqua"/>
          <w:sz w:val="18"/>
          <w:szCs w:val="18"/>
        </w:rPr>
      </w:pPr>
      <w:r>
        <w:rPr>
          <w:rFonts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11. DA ANÁLISE DA PROPOSTA DE PREÇOS</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11.1 – No julgamento das propostas classificadas, atendidas as condições prescritas neste edital, será adotado o critério de menor preço global do lote único entendendo-se como tal o valor total da proposta, sendo a adjudicação efetuada a uma única empresa.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11.2 No caso de empate será assegurado, como critério de desempate, preferência de contratação para as microempresas e empresas de pequeno porte (</w:t>
      </w:r>
      <w:r>
        <w:rPr>
          <w:rFonts w:cs="Book Antiqua" w:ascii="Book Antiqua" w:hAnsi="Book Antiqua"/>
          <w:b/>
          <w:sz w:val="18"/>
          <w:szCs w:val="18"/>
        </w:rPr>
        <w:t>Lei Complementar nº 123/06, art. 44 e art. 45), sendo que, nestes casos será concedido o prazo de 05 (cinco) minutos para as microempresas e empresas de pequeno porte proporem preços menores que a proposta vencedora da empresa de grande porte, desde que o seu preço esteja dentro do percentual de até 10% (dez por cento) superior ao preço da proponente considerada grande empresa.</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tabs>
          <w:tab w:val="clear" w:pos="708"/>
          <w:tab w:val="left" w:pos="1134" w:leader="none"/>
        </w:tabs>
        <w:jc w:val="both"/>
        <w:rPr/>
      </w:pPr>
      <w:r>
        <w:rPr>
          <w:rFonts w:cs="Book Antiqua" w:ascii="Book Antiqua" w:hAnsi="Book Antiqua"/>
          <w:sz w:val="18"/>
          <w:szCs w:val="18"/>
        </w:rPr>
        <w:t>11.3 – Caso a microempresa ou empresa de pequeno porte não quiser abaixar sua proposta e entre as licitantes houver empate entre duas ou mais propostas, será obedecido ao dispos</w:t>
      </w:r>
      <w:r>
        <w:rPr>
          <w:rFonts w:cs="Book Antiqua" w:ascii="Book Antiqua" w:hAnsi="Book Antiqua"/>
          <w:sz w:val="18"/>
          <w:szCs w:val="18"/>
          <w:shd w:fill="FFFFFF" w:val="clear"/>
        </w:rPr>
        <w:t>to no art. 60º da Lei 14.133 de 2021</w:t>
      </w:r>
      <w:r>
        <w:rPr>
          <w:rFonts w:cs="Book Antiqua" w:ascii="Book Antiqua" w:hAnsi="Book Antiqua"/>
          <w:sz w:val="18"/>
          <w:szCs w:val="18"/>
        </w:rPr>
        <w:t>, o desempate se fará, obrigatoriamente, por sorteio, na reunião de abertura das propostas ou em ato público, para o qual todos os licitantes serão convocados.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11.4 – Caso exista algum fato que impeça a participação de algum licitante ou o mesmo tenha sido declarado inidôneo para licitar ou contratar com a Administração Pública, este será desclassificado do certame, sem prejuízo das sanções legais cabíveis.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11.5 – Serão desclassificadas as propostas que se adequarem a um dos seguintes requisitos: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t>a) não atenderem às exigências do Edital;</w:t>
      </w:r>
    </w:p>
    <w:p>
      <w:pPr>
        <w:pStyle w:val="Normal"/>
        <w:rPr>
          <w:rFonts w:ascii="Book Antiqua" w:hAnsi="Book Antiqua" w:cs="Book Antiqua"/>
          <w:sz w:val="18"/>
          <w:szCs w:val="18"/>
        </w:rPr>
      </w:pPr>
      <w:r>
        <w:rPr>
          <w:rFonts w:cs="Book Antiqua" w:ascii="Book Antiqua" w:hAnsi="Book Antiqua"/>
          <w:sz w:val="18"/>
          <w:szCs w:val="18"/>
        </w:rPr>
        <w:t>b) apresentarem valores globais superiores ao limite estabelecido pela administração;</w:t>
      </w:r>
    </w:p>
    <w:p>
      <w:pPr>
        <w:pStyle w:val="Normal"/>
        <w:rPr>
          <w:rFonts w:ascii="Book Antiqua" w:hAnsi="Book Antiqua" w:cs="Book Antiqua"/>
          <w:sz w:val="18"/>
          <w:szCs w:val="18"/>
        </w:rPr>
      </w:pPr>
      <w:r>
        <w:rPr>
          <w:rFonts w:cs="Book Antiqua" w:ascii="Book Antiqua" w:hAnsi="Book Antiqua"/>
          <w:sz w:val="18"/>
          <w:szCs w:val="18"/>
        </w:rPr>
        <w:t>c) apresentarem valores superior aos custos unitários estabelecidos pela administração;</w:t>
      </w:r>
    </w:p>
    <w:p>
      <w:pPr>
        <w:pStyle w:val="Normal"/>
        <w:rPr>
          <w:rFonts w:ascii="Book Antiqua" w:hAnsi="Book Antiqua" w:cs="Book Antiqua"/>
          <w:sz w:val="18"/>
          <w:szCs w:val="18"/>
        </w:rPr>
      </w:pPr>
      <w:r>
        <w:rPr>
          <w:rFonts w:cs="Book Antiqua" w:ascii="Book Antiqua" w:hAnsi="Book Antiqua"/>
          <w:sz w:val="18"/>
          <w:szCs w:val="18"/>
        </w:rPr>
        <w:t>d) utilizarem preços manifestamente inexequíveis.</w:t>
      </w:r>
    </w:p>
    <w:p>
      <w:pPr>
        <w:pStyle w:val="Normal"/>
        <w:jc w:val="both"/>
        <w:rPr>
          <w:rFonts w:ascii="Book Antiqua" w:hAnsi="Book Antiqua" w:cs="Book Antiqua"/>
          <w:sz w:val="18"/>
          <w:szCs w:val="18"/>
        </w:rPr>
      </w:pPr>
      <w:r>
        <w:rPr>
          <w:rFonts w:cs="Book Antiqua" w:ascii="Book Antiqua" w:hAnsi="Book Antiqua"/>
          <w:sz w:val="18"/>
          <w:szCs w:val="18"/>
        </w:rPr>
        <w:t>11.6 – Tem-se como limite estabelecido para a presente licitação aquele valor estimado para o serviço.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11.7 – Serão considerados inexequíveis os preços que não venham a ter demonstrado sua viabilidade por documentação que comprove que os custos dos insumos são coerentes com os de mercado e que os coeficientes de produtividade são</w:t>
      </w:r>
    </w:p>
    <w:p>
      <w:pPr>
        <w:pStyle w:val="Normal"/>
        <w:jc w:val="both"/>
        <w:rPr/>
      </w:pPr>
      <w:r>
        <w:rPr>
          <w:rFonts w:cs="Book Antiqua" w:ascii="Book Antiqua" w:hAnsi="Book Antiqua"/>
          <w:sz w:val="18"/>
          <w:szCs w:val="18"/>
        </w:rPr>
        <w:t xml:space="preserve">compatíveis com a execução do objeto do contrato, bem como aqueles que não atenderem ao disposto no </w:t>
      </w:r>
      <w:r>
        <w:rPr>
          <w:rFonts w:cs="Book Antiqua" w:ascii="Book Antiqua" w:hAnsi="Book Antiqua"/>
          <w:sz w:val="18"/>
          <w:szCs w:val="18"/>
          <w:shd w:fill="FFFFFF" w:val="clear"/>
        </w:rPr>
        <w:t>Art. 59, inciso III e § 4º da Lei 14.133 de 2021.</w:t>
      </w:r>
    </w:p>
    <w:p>
      <w:pPr>
        <w:pStyle w:val="Normal"/>
        <w:jc w:val="both"/>
        <w:rPr>
          <w:rFonts w:ascii="Book Antiqua" w:hAnsi="Book Antiqua" w:cs="Book Antiqua"/>
          <w:sz w:val="18"/>
          <w:szCs w:val="18"/>
          <w:shd w:fill="FFFFFF" w:val="clear"/>
        </w:rPr>
      </w:pPr>
      <w:r>
        <w:rPr>
          <w:rFonts w:cs="Book Antiqua" w:ascii="Book Antiqua" w:hAnsi="Book Antiqua"/>
          <w:sz w:val="18"/>
          <w:szCs w:val="18"/>
          <w:shd w:fill="FFFFFF" w:val="clear"/>
        </w:rPr>
      </w:r>
    </w:p>
    <w:p>
      <w:pPr>
        <w:pStyle w:val="Normal"/>
        <w:jc w:val="both"/>
        <w:rPr/>
      </w:pPr>
      <w:r>
        <w:rPr>
          <w:rFonts w:cs="Book Antiqua" w:ascii="Book Antiqua" w:hAnsi="Book Antiqua"/>
          <w:sz w:val="18"/>
          <w:szCs w:val="18"/>
        </w:rPr>
        <w:t xml:space="preserve">11.8 – As propostas que atenderem em sua essência aos requisitos do Edital, mas possuírem erro de forma ou inconsistências serão verificadas quanto aos seguintes erros, os quais serão corrigidos pelo </w:t>
      </w:r>
      <w:r>
        <w:rPr>
          <w:rStyle w:val="Manoel"/>
          <w:rFonts w:cs="Book Antiqua" w:ascii="Book Antiqua" w:hAnsi="Book Antiqua"/>
          <w:color w:val="000000"/>
          <w:sz w:val="18"/>
          <w:szCs w:val="18"/>
        </w:rPr>
        <w:t>Agente de Contratação</w:t>
      </w:r>
      <w:r>
        <w:rPr>
          <w:rFonts w:cs="Book Antiqua" w:ascii="Book Antiqua" w:hAnsi="Book Antiqua"/>
          <w:sz w:val="18"/>
          <w:szCs w:val="18"/>
        </w:rPr>
        <w:t>, na forma indicada: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a) </w:t>
      </w:r>
      <w:r>
        <w:rPr>
          <w:rFonts w:cs="Book Antiqua" w:ascii="Book Antiqua" w:hAnsi="Book Antiqua"/>
          <w:sz w:val="18"/>
          <w:szCs w:val="18"/>
          <w:u w:val="single"/>
        </w:rPr>
        <w:t>discrepâncias entre os preços unitários e totais</w:t>
      </w:r>
      <w:r>
        <w:rPr>
          <w:rFonts w:cs="Book Antiqua" w:ascii="Book Antiqua" w:hAnsi="Book Antiqua"/>
          <w:sz w:val="18"/>
          <w:szCs w:val="18"/>
        </w:rPr>
        <w:t>: prevalecerão os preços unitários e, havendo discordância entre os preços em algarismos e por extenso, prevalecerá o valor por extenso;</w:t>
      </w:r>
    </w:p>
    <w:p>
      <w:pPr>
        <w:pStyle w:val="Normal"/>
        <w:tabs>
          <w:tab w:val="clear" w:pos="708"/>
          <w:tab w:val="left" w:pos="1134" w:leader="none"/>
        </w:tabs>
        <w:jc w:val="both"/>
        <w:rPr/>
      </w:pPr>
      <w:r>
        <w:rPr>
          <w:rFonts w:cs="Book Antiqua" w:ascii="Book Antiqua" w:hAnsi="Book Antiqua"/>
          <w:sz w:val="18"/>
          <w:szCs w:val="18"/>
        </w:rPr>
        <w:t xml:space="preserve">b) </w:t>
      </w:r>
      <w:r>
        <w:rPr>
          <w:rFonts w:cs="Book Antiqua" w:ascii="Book Antiqua" w:hAnsi="Book Antiqua"/>
          <w:sz w:val="18"/>
          <w:szCs w:val="18"/>
          <w:u w:val="single"/>
        </w:rPr>
        <w:t>erros de transcrição das quantidades do projeto para a proposta</w:t>
      </w:r>
      <w:r>
        <w:rPr>
          <w:rFonts w:cs="Book Antiqua" w:ascii="Book Antiqua" w:hAnsi="Book Antiqua"/>
          <w:sz w:val="18"/>
          <w:szCs w:val="18"/>
        </w:rPr>
        <w:t>: o produto será corrigido devidamente, mantendo-se como referência o preço unitário, corrigindo-se a quantidade e o preço total;</w:t>
      </w:r>
    </w:p>
    <w:p>
      <w:pPr>
        <w:pStyle w:val="Normal"/>
        <w:tabs>
          <w:tab w:val="clear" w:pos="708"/>
          <w:tab w:val="left" w:pos="1134" w:leader="none"/>
        </w:tabs>
        <w:jc w:val="both"/>
        <w:rPr/>
      </w:pPr>
      <w:r>
        <w:rPr>
          <w:rFonts w:cs="Book Antiqua" w:ascii="Book Antiqua" w:hAnsi="Book Antiqua"/>
          <w:sz w:val="18"/>
          <w:szCs w:val="18"/>
        </w:rPr>
        <w:t>c</w:t>
      </w:r>
      <w:r>
        <w:rPr>
          <w:rFonts w:cs="Book Antiqua" w:ascii="Book Antiqua" w:hAnsi="Book Antiqua"/>
          <w:sz w:val="18"/>
          <w:szCs w:val="18"/>
          <w:u w:val="single"/>
        </w:rPr>
        <w:t>) erro de multiplicação do preço unitário pela quantidade correspondente</w:t>
      </w:r>
      <w:r>
        <w:rPr>
          <w:rFonts w:cs="Book Antiqua" w:ascii="Book Antiqua" w:hAnsi="Book Antiqua"/>
          <w:sz w:val="18"/>
          <w:szCs w:val="18"/>
        </w:rPr>
        <w:t>: será retificado, mantendo-se como referência o preço unitário e a quantidade, corrigindo-se o produto;</w:t>
      </w:r>
    </w:p>
    <w:p>
      <w:pPr>
        <w:pStyle w:val="Normal"/>
        <w:tabs>
          <w:tab w:val="clear" w:pos="708"/>
          <w:tab w:val="left" w:pos="1134" w:leader="none"/>
        </w:tabs>
        <w:jc w:val="both"/>
        <w:rPr/>
      </w:pPr>
      <w:r>
        <w:rPr>
          <w:rFonts w:cs="Book Antiqua" w:ascii="Book Antiqua" w:hAnsi="Book Antiqua"/>
          <w:sz w:val="18"/>
          <w:szCs w:val="18"/>
        </w:rPr>
        <w:t xml:space="preserve">d) </w:t>
      </w:r>
      <w:r>
        <w:rPr>
          <w:rFonts w:cs="Book Antiqua" w:ascii="Book Antiqua" w:hAnsi="Book Antiqua"/>
          <w:sz w:val="18"/>
          <w:szCs w:val="18"/>
          <w:u w:val="single"/>
        </w:rPr>
        <w:t>erro de adição</w:t>
      </w:r>
      <w:r>
        <w:rPr>
          <w:rFonts w:cs="Book Antiqua" w:ascii="Book Antiqua" w:hAnsi="Book Antiqua"/>
          <w:sz w:val="18"/>
          <w:szCs w:val="18"/>
        </w:rPr>
        <w:t>: será retificado, conservando-se as parcelas e corrigindo-se o resultado;</w:t>
      </w:r>
    </w:p>
    <w:p>
      <w:pPr>
        <w:pStyle w:val="Normal"/>
        <w:tabs>
          <w:tab w:val="clear" w:pos="708"/>
          <w:tab w:val="left" w:pos="1134" w:leader="none"/>
        </w:tabs>
        <w:jc w:val="both"/>
        <w:rPr>
          <w:rFonts w:ascii="Book Antiqua" w:hAnsi="Book Antiqua" w:cs="Book Antiqua"/>
          <w:sz w:val="18"/>
          <w:szCs w:val="18"/>
        </w:rPr>
      </w:pPr>
      <w:r>
        <w:rPr>
          <w:rFonts w:cs="Book Antiqua" w:ascii="Book Antiqua" w:hAnsi="Book Antiqua"/>
          <w:sz w:val="18"/>
          <w:szCs w:val="18"/>
        </w:rPr>
        <w:t>e) verificado em qualquer momento, até o término do contrato, incoerências ou divergências de qualquer natureza nas composições dos preços unitários dos serviços, será adotada a correção que resultar no menor valor.</w:t>
      </w:r>
    </w:p>
    <w:p>
      <w:pPr>
        <w:pStyle w:val="Normal"/>
        <w:tabs>
          <w:tab w:val="clear" w:pos="708"/>
          <w:tab w:val="left" w:pos="1134"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1134" w:leader="none"/>
        </w:tabs>
        <w:jc w:val="both"/>
        <w:rPr>
          <w:rFonts w:ascii="Book Antiqua" w:hAnsi="Book Antiqua" w:cs="Book Antiqua"/>
          <w:sz w:val="18"/>
          <w:szCs w:val="18"/>
        </w:rPr>
      </w:pPr>
      <w:r>
        <w:rPr>
          <w:rFonts w:cs="Book Antiqua" w:ascii="Book Antiqua" w:hAnsi="Book Antiqua"/>
          <w:sz w:val="18"/>
          <w:szCs w:val="18"/>
        </w:rPr>
        <w:t>11.9 – O valor total da proposta será ajustado em conformidade com os procedimentos mencionados no item 8.7. O valor resultante constituirá no valor contratual. Se a licitante não aceitar as correções procedidas, sua proposta será rejeitada.</w:t>
      </w:r>
    </w:p>
    <w:p>
      <w:pPr>
        <w:pStyle w:val="Normal"/>
        <w:tabs>
          <w:tab w:val="clear" w:pos="708"/>
          <w:tab w:val="left" w:pos="1134"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1134" w:leader="none"/>
        </w:tabs>
        <w:jc w:val="both"/>
        <w:rPr/>
      </w:pPr>
      <w:r>
        <w:rPr>
          <w:rFonts w:cs="Book Antiqua" w:ascii="Book Antiqua" w:hAnsi="Book Antiqua"/>
          <w:sz w:val="18"/>
          <w:szCs w:val="18"/>
        </w:rPr>
        <w:t xml:space="preserve">11.10 – Com exceção das alterações, entrelinhas ou rasuras feitas pelo </w:t>
      </w:r>
      <w:r>
        <w:rPr>
          <w:rStyle w:val="Manoel"/>
          <w:rFonts w:cs="Book Antiqua" w:ascii="Book Antiqua" w:hAnsi="Book Antiqua"/>
          <w:color w:val="000000"/>
          <w:sz w:val="18"/>
          <w:szCs w:val="18"/>
        </w:rPr>
        <w:t>Agente de Contratação</w:t>
      </w:r>
      <w:r>
        <w:rPr>
          <w:rFonts w:cs="Book Antiqua" w:ascii="Book Antiqua" w:hAnsi="Book Antiqua"/>
          <w:sz w:val="18"/>
          <w:szCs w:val="18"/>
        </w:rPr>
        <w:t>, necessárias para corrigir erros cometidos pelos licitantes, não serão aceitas propostas contendo borrões, emendas ou rasuras.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11.11 – O resultado do julgamento das propostas será publicado nos órgãos oficiais.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11.11.1 – Após o julgamento, o licitante vencedor deverá reelaborar e apresentar à Administração, por meio eletrônico, as planilhas com indicação dos quantitativos e dos custos unitários,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semi-integral e contratação integrada, exclusivamente para eventuais adequações indispensáveis no cronograma físico-financeiro e para balizar excepcional aditamento posterior do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11.12 Finalizando o julgamento da Proposta de Preço, passará a abertura da análise dos DOCUMENTOS DE HABILITAÇÃO, para se averiguar os aspectos documentais explicitados no item “6.3. DOCUMENTAÇÃO DE HABILITAÇÃO” deste Edital.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u w:val="single"/>
        </w:rPr>
      </w:pPr>
      <w:r>
        <w:rPr>
          <w:rFonts w:cs="Book Antiqua" w:ascii="Book Antiqua" w:hAnsi="Book Antiqua"/>
          <w:b/>
          <w:sz w:val="18"/>
          <w:szCs w:val="18"/>
          <w:u w:val="single"/>
        </w:rPr>
        <w:t>11.1 – DA ANALISE DA HABILITAÇÃO</w:t>
      </w:r>
    </w:p>
    <w:p>
      <w:pPr>
        <w:pStyle w:val="Normal"/>
        <w:jc w:val="both"/>
        <w:rPr>
          <w:rFonts w:ascii="Book Antiqua" w:hAnsi="Book Antiqua" w:cs="Book Antiqua"/>
          <w:b/>
          <w:b/>
          <w:sz w:val="18"/>
          <w:szCs w:val="18"/>
          <w:u w:val="single"/>
        </w:rPr>
      </w:pPr>
      <w:r>
        <w:rPr>
          <w:rFonts w:cs="Book Antiqua" w:ascii="Book Antiqua" w:hAnsi="Book Antiqua"/>
          <w:b/>
          <w:sz w:val="18"/>
          <w:szCs w:val="18"/>
          <w:u w:val="single"/>
        </w:rPr>
      </w:r>
    </w:p>
    <w:p>
      <w:pPr>
        <w:pStyle w:val="Standard"/>
        <w:jc w:val="both"/>
        <w:rPr/>
      </w:pPr>
      <w:r>
        <w:rPr>
          <w:rFonts w:eastAsia="Book Antiqua" w:cs="Book Antiqua" w:ascii="Book Antiqua" w:hAnsi="Book Antiqua"/>
          <w:sz w:val="18"/>
          <w:szCs w:val="18"/>
        </w:rPr>
        <w:t>11.1.1 -</w:t>
        <w:tab/>
        <w:t xml:space="preserve">Encerrada a análise quanto à aceitação da proposta, o </w:t>
      </w:r>
      <w:r>
        <w:rPr>
          <w:rStyle w:val="Manoel"/>
          <w:rFonts w:eastAsia="Book Antiqua" w:cs="Book Antiqua" w:ascii="Book Antiqua" w:hAnsi="Book Antiqua"/>
          <w:color w:val="000000"/>
          <w:sz w:val="18"/>
          <w:szCs w:val="18"/>
        </w:rPr>
        <w:t>Agente de Contratação</w:t>
      </w:r>
      <w:r>
        <w:rPr>
          <w:rFonts w:eastAsia="Book Antiqua" w:cs="Book Antiqua" w:ascii="Book Antiqua" w:hAnsi="Book Antiqua"/>
          <w:sz w:val="18"/>
          <w:szCs w:val="18"/>
        </w:rPr>
        <w:t xml:space="preserve"> verificará a habilitação do licitante, observado o disposto neste Edital, e iniciará os trabalhos.</w:t>
      </w:r>
    </w:p>
    <w:p>
      <w:pPr>
        <w:pStyle w:val="Standard"/>
        <w:jc w:val="both"/>
        <w:rPr>
          <w:rFonts w:ascii="Book Antiqua" w:hAnsi="Book Antiqua"/>
          <w:sz w:val="18"/>
          <w:szCs w:val="18"/>
        </w:rPr>
      </w:pPr>
      <w:r>
        <w:rPr>
          <w:rFonts w:ascii="Book Antiqua" w:hAnsi="Book Antiqua"/>
          <w:sz w:val="18"/>
          <w:szCs w:val="18"/>
        </w:rPr>
      </w:r>
    </w:p>
    <w:p>
      <w:pPr>
        <w:pStyle w:val="Standard"/>
        <w:jc w:val="both"/>
        <w:rPr/>
      </w:pPr>
      <w:r>
        <w:rPr>
          <w:rFonts w:eastAsia="Book Antiqua" w:cs="Book Antiqua" w:ascii="Book Antiqua" w:hAnsi="Book Antiqua"/>
          <w:sz w:val="18"/>
          <w:szCs w:val="18"/>
        </w:rPr>
        <w:t xml:space="preserve">11.1.2. A documentação exigida para fins de habilitação jurídica, fiscal, trabalhista e econômico-financeira, poderá ser substituída pelo registro cadastral na Plataforma Eletrônica constante na página eletrônica da BLL– Bolsa de Licitações e Leilões. </w:t>
      </w:r>
      <w:hyperlink r:id="rId10">
        <w:r>
          <w:rPr>
            <w:rStyle w:val="Hyperlink1"/>
            <w:rFonts w:eastAsia="Book Antiqua" w:cs="Book Antiqua" w:ascii="Book Antiqua" w:hAnsi="Book Antiqua"/>
            <w:sz w:val="18"/>
            <w:szCs w:val="18"/>
          </w:rPr>
          <w:t>BLLCOMPRAS.COM.</w:t>
        </w:r>
      </w:hyperlink>
    </w:p>
    <w:p>
      <w:pPr>
        <w:pStyle w:val="Standard"/>
        <w:jc w:val="both"/>
        <w:rPr>
          <w:rFonts w:ascii="Book Antiqua" w:hAnsi="Book Antiqua"/>
          <w:sz w:val="18"/>
          <w:szCs w:val="18"/>
        </w:rPr>
      </w:pPr>
      <w:r>
        <w:rPr>
          <w:rFonts w:ascii="Book Antiqua" w:hAnsi="Book Antiqua"/>
          <w:sz w:val="18"/>
          <w:szCs w:val="18"/>
        </w:rPr>
      </w:r>
    </w:p>
    <w:p>
      <w:pPr>
        <w:pStyle w:val="Standard"/>
        <w:jc w:val="both"/>
        <w:rPr/>
      </w:pPr>
      <w:r>
        <w:rPr>
          <w:rFonts w:eastAsia="Book Antiqua" w:cs="Book Antiqua" w:ascii="Book Antiqua" w:hAnsi="Book Antiqua"/>
          <w:sz w:val="18"/>
          <w:szCs w:val="18"/>
        </w:rPr>
        <w:t xml:space="preserve">11.1.3. A habilitação será verificada por meio da Plataforma Eletrônica constante na página eletrônica da BLL– Bolsa de Licitações e Leilões. </w:t>
      </w:r>
      <w:hyperlink r:id="rId11">
        <w:r>
          <w:rPr>
            <w:rStyle w:val="Hyperlink1"/>
            <w:rFonts w:eastAsia="Book Antiqua" w:cs="Book Antiqua" w:ascii="Book Antiqua" w:hAnsi="Book Antiqua"/>
            <w:sz w:val="18"/>
            <w:szCs w:val="18"/>
          </w:rPr>
          <w:t>BLLCOMPRAS.COM.</w:t>
        </w:r>
      </w:hyperlink>
      <w:r>
        <w:rPr>
          <w:rFonts w:eastAsia="Book Antiqua" w:cs="Book Antiqua" w:ascii="Book Antiqua" w:hAnsi="Book Antiqua"/>
          <w:sz w:val="18"/>
          <w:szCs w:val="18"/>
        </w:rPr>
        <w:t>, nos documentos por ele abrangidos.</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11.1.4. A comprovação de regularidade fiscal e trabalhista das microempresas e das empresas de pequeno porte somente será exigida para efeito de contratação, e não como condição para participação na licitação (art. 4º do Decreto nº 8.538/2015).</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11.1.5. Somente haverá a necessidade de comprovação do preenchimento de requisitos mediante apresentação dos documentos originais não digitais quando houver dúvida em relação à integridade do documento digital;</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11.1.6. Não serão aceitos documentos de habilitação com indicação de CNPJ/CPF diferentes, salvo aqueles legalmente permitidos;</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11.1.7.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11.1.8. Serão aceitos registros de CNPJ de licitante matriz e filial com diferenças de números de documentos pertinentes ao CND e ao CRF/FGTS, quando for comprovada a centralização do recolhimento dessas contribuições.</w:t>
      </w:r>
    </w:p>
    <w:p>
      <w:pPr>
        <w:pStyle w:val="Standard"/>
        <w:jc w:val="both"/>
        <w:rPr>
          <w:rFonts w:ascii="Book Antiqua" w:hAnsi="Book Antiqua"/>
          <w:sz w:val="18"/>
          <w:szCs w:val="18"/>
        </w:rPr>
      </w:pPr>
      <w:r>
        <w:rPr>
          <w:rFonts w:ascii="Book Antiqua" w:hAnsi="Book Antiqua"/>
          <w:sz w:val="18"/>
          <w:szCs w:val="18"/>
        </w:rPr>
      </w:r>
    </w:p>
    <w:p>
      <w:pPr>
        <w:pStyle w:val="Standard"/>
        <w:jc w:val="both"/>
        <w:rPr/>
      </w:pPr>
      <w:r>
        <w:rPr>
          <w:rFonts w:eastAsia="Book Antiqua" w:cs="Book Antiqua" w:ascii="Book Antiqua" w:hAnsi="Book Antiqua"/>
          <w:sz w:val="18"/>
          <w:szCs w:val="18"/>
        </w:rPr>
        <w:t xml:space="preserve">11.1.9. Recebidos os documentos de habilitação no prazo indicado, o </w:t>
      </w:r>
      <w:r>
        <w:rPr>
          <w:rStyle w:val="Manoel"/>
          <w:rFonts w:eastAsia="Book Antiqua" w:cs="Book Antiqua" w:ascii="Book Antiqua" w:hAnsi="Book Antiqua"/>
          <w:color w:val="000000"/>
          <w:sz w:val="18"/>
          <w:szCs w:val="18"/>
        </w:rPr>
        <w:t>Agente de Contratação</w:t>
      </w:r>
      <w:r>
        <w:rPr>
          <w:rFonts w:eastAsia="Book Antiqua" w:cs="Book Antiqua" w:ascii="Book Antiqua" w:hAnsi="Book Antiqua"/>
          <w:sz w:val="18"/>
          <w:szCs w:val="18"/>
        </w:rPr>
        <w:t xml:space="preserve"> fará a análise de acordo com critério de aceitabilidade previsto em Edital;</w:t>
      </w:r>
    </w:p>
    <w:p>
      <w:pPr>
        <w:pStyle w:val="Standard"/>
        <w:jc w:val="both"/>
        <w:rPr>
          <w:rFonts w:ascii="Book Antiqua" w:hAnsi="Book Antiqua"/>
          <w:sz w:val="18"/>
          <w:szCs w:val="18"/>
        </w:rPr>
      </w:pPr>
      <w:r>
        <w:rPr>
          <w:rFonts w:ascii="Book Antiqua" w:hAnsi="Book Antiqua"/>
          <w:sz w:val="18"/>
          <w:szCs w:val="18"/>
        </w:rPr>
      </w:r>
    </w:p>
    <w:p>
      <w:pPr>
        <w:pStyle w:val="Standard"/>
        <w:jc w:val="both"/>
        <w:rPr>
          <w:rFonts w:ascii="Book Antiqua" w:hAnsi="Book Antiqua" w:eastAsia="Book Antiqua" w:cs="Book Antiqua"/>
          <w:sz w:val="18"/>
          <w:szCs w:val="18"/>
        </w:rPr>
      </w:pPr>
      <w:r>
        <w:rPr>
          <w:rFonts w:eastAsia="Book Antiqua" w:cs="Book Antiqua" w:ascii="Book Antiqua" w:hAnsi="Book Antiqua"/>
          <w:sz w:val="18"/>
          <w:szCs w:val="18"/>
        </w:rPr>
        <w:t>11.1.10. Serão inabilitadas as licitantes que não atenderem no todo ou em parte as condições estabelecidas neste Edital e seus Anexos, ou que apresentem documentação vaga, omissa, que contenha quaisquer tipos de vícios e/ou erros de conteúdo, ou ainda, que estejam com prazos de validade expirados;</w:t>
      </w:r>
    </w:p>
    <w:p>
      <w:pPr>
        <w:pStyle w:val="Standard"/>
        <w:jc w:val="both"/>
        <w:rPr>
          <w:rFonts w:ascii="Book Antiqua" w:hAnsi="Book Antiqua"/>
          <w:sz w:val="18"/>
          <w:szCs w:val="18"/>
        </w:rPr>
      </w:pPr>
      <w:r>
        <w:rPr>
          <w:rFonts w:ascii="Book Antiqua" w:hAnsi="Book Antiqua"/>
          <w:sz w:val="18"/>
          <w:szCs w:val="18"/>
        </w:rPr>
      </w:r>
    </w:p>
    <w:p>
      <w:pPr>
        <w:pStyle w:val="Standard"/>
        <w:jc w:val="both"/>
        <w:rPr/>
      </w:pPr>
      <w:r>
        <w:rPr>
          <w:rStyle w:val="Manoel"/>
          <w:rFonts w:eastAsia="Book Antiqua" w:cs="Book Antiqua" w:ascii="Book Antiqua" w:hAnsi="Book Antiqua"/>
          <w:color w:val="000000"/>
          <w:sz w:val="18"/>
          <w:szCs w:val="18"/>
        </w:rPr>
        <w:t>11.1.11. Havendo dúvida quanto aos documentos apresentados, poderá ser solicitado que a licitante apresente, no prazo estabelecido pelo Agente de Contratação, os documentos originais de habilitação, podendo ser cópia autenticada ou cópia simples, desde que acompanhados dos originais para análise do Agente de Contratação.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11.2 DOS RECURSOS</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11.2.1 Qualquer licitante poderá, durante o prazo de 01 (uma) hora, de forma imediata após o término do julgamento do ato de habilitação ou inabilitação, em campo próprio do sistema, manifestar sua intenção de recorrer, sob pena de preclusão, ficando a autoridade superior autorizada a adjudicar o objeto ao licitante declarado vencedor.</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cs="Book Antiqua" w:ascii="Book Antiqua" w:hAnsi="Book Antiqua"/>
          <w:sz w:val="18"/>
          <w:szCs w:val="18"/>
        </w:rPr>
        <w:t>11.2.2 Manifestado o interesse e uma vez admitido o recurso, o recorrente terá, a partir de então no termo do</w:t>
      </w:r>
      <w:r>
        <w:rPr>
          <w:rFonts w:cs="Book Antiqua" w:ascii="Book Antiqua" w:hAnsi="Book Antiqua"/>
          <w:sz w:val="18"/>
          <w:szCs w:val="18"/>
          <w:shd w:fill="FFFFFF" w:val="clear"/>
        </w:rPr>
        <w:t xml:space="preserve"> artigo 164, da Lei nº 14.133 de 2021 o prazo de 03 (três) dias úteis, mediante petição digitada devidamente arrazoada, subscrita pelo</w:t>
      </w:r>
      <w:r>
        <w:rPr>
          <w:rFonts w:cs="Book Antiqua" w:ascii="Book Antiqua" w:hAnsi="Book Antiqua"/>
          <w:sz w:val="18"/>
          <w:szCs w:val="18"/>
        </w:rPr>
        <w:t xml:space="preserve"> representante da recorrente.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11.2.3 Os recursos serão dirigidos ao Agente de Contratação nos termos do § 2º do Art. 165, que poderá reconsiderar sua decisão no prazo de 03 (três) dias úteis ou não, neste último será remetido a autoridade competente da Prefeitura Municipal de Rondonópolis/MT.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11.2.4 Os recursos deverão ser encaminhados em local próprio na Plataforma Eletrônica constante na página eletrônica da BLL– Bolsa de Licitações e Leilões. </w:t>
      </w:r>
      <w:hyperlink r:id="rId12">
        <w:r>
          <w:rPr>
            <w:rStyle w:val="LinkdaInternet"/>
            <w:rFonts w:cs="Book Antiqua" w:ascii="Book Antiqua" w:hAnsi="Book Antiqua"/>
            <w:sz w:val="18"/>
            <w:szCs w:val="18"/>
          </w:rPr>
          <w:t>BLLCOMPRAS.COM</w:t>
        </w:r>
      </w:hyperlink>
      <w:r>
        <w:rPr>
          <w:rFonts w:cs="Book Antiqua" w:ascii="Book Antiqua" w:hAnsi="Book Antiqua"/>
          <w:sz w:val="18"/>
          <w:szCs w:val="18"/>
        </w:rPr>
        <w:t>, não sendo aceitos recursos interpostos fora do prazo.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11.2.5 – As decisões dos recursos administrativos serão publicadas no Diário Oficial do Município de Rondonópolis – DIORONDON.</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bCs/>
          <w:sz w:val="18"/>
          <w:szCs w:val="18"/>
        </w:rPr>
      </w:pPr>
      <w:r>
        <w:rPr>
          <w:rFonts w:cs="Book Antiqua" w:ascii="Book Antiqua" w:hAnsi="Book Antiqua"/>
          <w:b/>
          <w:bCs/>
          <w:sz w:val="18"/>
          <w:szCs w:val="18"/>
        </w:rPr>
        <w:t>12. MODELO DE EXECUÇÃO DO CONTRATO E DA FISCALIZAÇÃO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12.1 – O Contrato deverá ser executado fielmente pelas partes, de acordo com as cláusulas avençadas, as normas da </w:t>
      </w:r>
      <w:hyperlink r:id="rId13" w:tgtFrame="_top">
        <w:r>
          <w:rPr>
            <w:rStyle w:val="LinkdaInternet"/>
          </w:rPr>
          <w:t>Lei nº 14.133, de 1º de abril de 2021</w:t>
        </w:r>
      </w:hyperlink>
      <w:r>
        <w:rPr>
          <w:rFonts w:cs="Book Antiqua" w:ascii="Book Antiqua" w:hAnsi="Book Antiqua"/>
          <w:sz w:val="18"/>
          <w:szCs w:val="18"/>
        </w:rPr>
        <w:t xml:space="preserve"> e outras aplicáveis, respondendo cada parte, no que lhe competir, pelas consequências da inexecução total ou parcial.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12.1.1 As comunicações entre a Contratante e a Contratada devem ser realizadas por escrito sempre que o ato exigir tal formalidade, admitindo-se o uso de mensagem eletrônica para esse fim.</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12.1.2 A Contratante poderá convocar representante da empresa para adoção de providências que devam ser cumpridas de imediato.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12.2 O fiscal do contrato acompanhará a execução do contrato, para que sejam cumpridas todas as condições estabelecidas no contrato – verificar a quantidade, qualidade e os valores dos serviços executados, o atendimento dos padrões e normas requeridos para a intervenção, bem como fazer cumprir todas as exigências do Município de Rondonópolis/MT e as responsabilidades da Contratada, descritas no Projeto Básico  e legislação vigente, de modo a assegurar os melhores resultados para a Administração. (</w:t>
      </w:r>
      <w:hyperlink r:id="rId14" w:tgtFrame="_top">
        <w:r>
          <w:rPr>
            <w:rStyle w:val="LinkdaInternet"/>
            <w:rFonts w:cs="Book Antiqua" w:ascii="Book Antiqua" w:hAnsi="Book Antiqua"/>
            <w:sz w:val="18"/>
            <w:szCs w:val="18"/>
          </w:rPr>
          <w:t>art. 22, inciso VI, do</w:t>
        </w:r>
      </w:hyperlink>
      <w:r>
        <w:rPr>
          <w:rFonts w:cs="Book Antiqua" w:ascii="Book Antiqua" w:hAnsi="Book Antiqua"/>
          <w:sz w:val="18"/>
          <w:szCs w:val="18"/>
        </w:rPr>
        <w:t xml:space="preserve"> </w:t>
      </w:r>
      <w:hyperlink r:id="rId15" w:tgtFrame="_top">
        <w:r>
          <w:rPr>
            <w:rStyle w:val="LinkdaInternet"/>
            <w:rFonts w:ascii="Book Antiqua" w:hAnsi="Book Antiqua"/>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12.3 O fiscal do contrato anotará no histórico de gerenciamento do contrato todas as ocorrências relacionadas à execução do contrato, com a descrição do que for necessário para a regularização das faltas ou dos defeitos observados. (art. 117, §1º, da </w:t>
      </w:r>
      <w:hyperlink r:id="rId16" w:tgtFrame="_top">
        <w:r>
          <w:rPr>
            <w:rStyle w:val="LinkdaInternet"/>
          </w:rPr>
          <w:t>Lei nº 14.133, de 1º de abril de 2021</w:t>
        </w:r>
      </w:hyperlink>
      <w:r>
        <w:rPr>
          <w:rFonts w:cs="Book Antiqua" w:ascii="Book Antiqua" w:hAnsi="Book Antiqua"/>
          <w:sz w:val="18"/>
          <w:szCs w:val="18"/>
        </w:rPr>
        <w:t xml:space="preserve"> e art. 22, inciso II, do </w:t>
      </w:r>
      <w:hyperlink r:id="rId17"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12.4 Identificada qualquer inexatidão ou irregularidade, o fiscal do contrato emitirá notificações para a correção da execução do contrato, determinando prazo para a correção. (art. 22, inciso III, do </w:t>
      </w:r>
      <w:hyperlink r:id="rId18"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12.5 No caso de ocorrências que possam inviabilizar a execução do contrato nas datas aprazadas, o fiscal do contrato comunicará o fato imediatamente ao gestor do contrato. (art. 22, inciso V, do </w:t>
      </w:r>
      <w:hyperlink r:id="rId19"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12.6 O fiscal do contrato comunicará ao gestor do contrato, em tempo hábil, o término do contrato sob sua responsabilidade, com vistas à tempestiva renovação ou à prorrogação contratual (art. 22, inciso VII, </w:t>
      </w:r>
      <w:hyperlink r:id="rId20"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12.7 O gestor do contrato acompanhará os registros realizados pelos fiscais do contrato, de todas as ocorrências relacionadas à execução do contrato e as medidas adotadas, informando, se for o caso, à autoridade superior àquelas que ultrapassarem a sua competência. (art. 21, inciso II, do </w:t>
      </w:r>
      <w:hyperlink r:id="rId21"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12.8 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incisos I e II, do </w:t>
      </w:r>
      <w:hyperlink r:id="rId22"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12.9 Caso ocorram descumprimento das obrigações contratuais, o fiscal do contrato atuará tempestivamente na solução do problema, reportando ao gestor do contrato para que tome as providências cabíveis, quando ultrapassar a sua competência; (art. 23, inciso IV, </w:t>
      </w:r>
      <w:hyperlink r:id="rId23"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12.10 A Fiscalização poderá determinar, a ônus da empresa licitante vencedora, a substituição dos equipamentos, serviços e materiais julgados deficientes ou não-conformes com as especificações definidas em projeto (item 1.1 deste Edital), cabendo à licitante vencedora providenciar a troca dos mesmos no prazo máximo definido pela fiscalização, sem direito à extensão do prazo final de execução dos serviços.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12.11 – A licitante vencedora só poderá iniciar a obra/serviço após </w:t>
      </w:r>
      <w:r>
        <w:rPr>
          <w:rFonts w:cs="Book Antiqua" w:ascii="Book Antiqua" w:hAnsi="Book Antiqua"/>
          <w:bCs/>
          <w:sz w:val="18"/>
          <w:szCs w:val="18"/>
        </w:rPr>
        <w:t>assinatura do respectivo Contrato, conforme minuta apresentada no ANEXO X deste Edital.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12.12 – Compete à fiscalização da obra/serviço pela equipe designada pela Prefeitura, entre outras atribuições: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12.12.1 – Verificar a conformidade da execução dos serviços com as normas especificadas em caderno de especificações técnicas, memoriais descritivos, plantas e planilhas orçamentárias e adequação dos procedimentos e materiais empregados à qualidade desejada para os serviços.</w:t>
      </w:r>
    </w:p>
    <w:p>
      <w:pPr>
        <w:pStyle w:val="Normal"/>
        <w:ind w:left="567" w:hanging="0"/>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12.12.2 – Ordenar à licitante vencedora corrigir, refazer ou reconstruir as partes dos serviços executados com erros, imperfeições ou em desacordo com as especificações.</w:t>
      </w:r>
    </w:p>
    <w:p>
      <w:pPr>
        <w:pStyle w:val="Normal"/>
        <w:ind w:left="567" w:hanging="0"/>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12.13 – Manter organizado e atualizado o Livro Diário, assinado por técnico da licitante vencedora e por servidor designado pela Prefeitura para efetuar a fiscalização, onde a referida licitante vencedora registre, em cada visita: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12.13.1 – As atividades desenvolvidas;</w:t>
      </w:r>
    </w:p>
    <w:p>
      <w:pPr>
        <w:pStyle w:val="Normal"/>
        <w:ind w:left="1134" w:hanging="0"/>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12.13.2 – As ocorrências ou observações descritas de forma analítica, adotando as providências para o fiel cumprimento das cláusulas contratuais;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12.13.3 - Encaminhar à Prefeitura o documento no qual relacione as ocorrências que impliquem em multas ou sansões a serem aplicadas à licitante vencedora, a seus representantes legais e responsáveis técnicos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12.14 – A ação da fiscalização não exonera a licitante vencedora de suas responsabilidades contratuais.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12.15 – </w:t>
      </w:r>
      <w:r>
        <w:rPr>
          <w:rFonts w:cs="Arial" w:ascii="Book Antiqua" w:hAnsi="Book Antiqua"/>
          <w:sz w:val="18"/>
          <w:szCs w:val="18"/>
        </w:rPr>
        <w:t>Durante a execução do objeto, o fiscal técnico deverá monitorar constantemente o nível de qualidade dos serviços para evitar a sua degeneração, devendo intervir para requerer à CONTRATADA a correção das faltas, falhas e irregularidades constatadas.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12.16 – Em caso de dúvidas quanto à interpretação das especificações constantes do Memorial Descritivo e do Estudo Técnico Preliminar – ETP, </w:t>
      </w:r>
      <w:r>
        <w:rPr/>
        <w:t xml:space="preserve">Projeto Básico </w:t>
      </w:r>
      <w:r>
        <w:rPr>
          <w:rFonts w:cs="Book Antiqua" w:ascii="Book Antiqua" w:hAnsi="Book Antiqua"/>
          <w:sz w:val="18"/>
          <w:szCs w:val="18"/>
        </w:rPr>
        <w:t>, será sempre consultada a Fiscalização, sendo desta o parecer definitivo. A decisão tomada pela Fiscalização deverá ser comunicada à empresa licitante vencedora obrigatoriamente de forma escrita e oficial.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12.17 – Na fiscalização serão ainda observadas as demais condições relacionadas ao Estudo Técnico Preliminar - ETP, </w:t>
      </w:r>
      <w:r>
        <w:rPr/>
        <w:t xml:space="preserve">Projeto Básico </w:t>
      </w:r>
      <w:r>
        <w:rPr>
          <w:rFonts w:cs="Book Antiqua" w:ascii="Book Antiqua" w:hAnsi="Book Antiqua"/>
          <w:sz w:val="18"/>
          <w:szCs w:val="18"/>
        </w:rPr>
        <w:t>e Minuta de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bCs/>
          <w:sz w:val="18"/>
          <w:szCs w:val="18"/>
        </w:rPr>
      </w:pPr>
      <w:r>
        <w:rPr>
          <w:rFonts w:cs="Book Antiqua" w:ascii="Book Antiqua" w:hAnsi="Book Antiqua"/>
          <w:b/>
          <w:bCs/>
          <w:sz w:val="18"/>
          <w:szCs w:val="18"/>
        </w:rPr>
        <w:t>13. DO GESTOR DO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13.1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(art. 21, inciso IV, </w:t>
      </w:r>
      <w:hyperlink r:id="rId24"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13.2 O gestor do contrato acompanhará a manutenção das condições de habilitação da Contratada, para fins de empenho de despesa e pagamento, e anotará os problemas que obstem o fluxo normal da liquidação e do pagamento da despesa no relatório de riscos eventuais. (art. 21, inciso III, do </w:t>
      </w:r>
      <w:hyperlink r:id="rId25"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13.3 O gestor do contrato emitirá documento comprobatório da avaliação realizada pelo fiscais do contrato quanto ao cumprimento de obrigações assumidas pela Contratado, com menção ao seu desempenho na execução contratual, baseado nos indicadores objetivamente definidos e aferidos, e a eventuais penalidades aplicadas, devendo constar do cadastro de atesto de cumprimento de obrigações. (art. 21, inciso VIII, do </w:t>
      </w:r>
      <w:hyperlink r:id="rId26"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13.4 O gestor do contrato tomará providências para a formalização de processo administrativo de responsabilização para fins de aplicação de sanções, a ser conduzido pela comissão de que trata o art. 158, </w:t>
      </w:r>
      <w:hyperlink r:id="rId27" w:tgtFrame="_top">
        <w:r>
          <w:rPr>
            <w:rStyle w:val="LinkdaInternet"/>
          </w:rPr>
          <w:t>Lei nº 14.133, de 1º de abril de 2021</w:t>
        </w:r>
      </w:hyperlink>
      <w:r>
        <w:rPr>
          <w:rFonts w:cs="Book Antiqua" w:ascii="Book Antiqua" w:hAnsi="Book Antiqua"/>
          <w:sz w:val="18"/>
          <w:szCs w:val="18"/>
        </w:rPr>
        <w:t xml:space="preserve">, ou pelo agente ou pelo setor com competência para tal, conforme o caso. (art. 21, inciso X, do </w:t>
      </w:r>
      <w:hyperlink r:id="rId28" w:tgtFrame="_top">
        <w:r>
          <w:rPr>
            <w:rStyle w:val="LinkdaInternet"/>
          </w:rPr>
          <w:t>Decreto nº 11.246/22</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13.5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e prepostos, em consonância com o art. 120, da </w:t>
      </w:r>
      <w:hyperlink r:id="rId29" w:tgtFrame="_top">
        <w:r>
          <w:rPr>
            <w:rStyle w:val="LinkdaInternet"/>
          </w:rPr>
          <w:t>Lei nº 14.133, de 1º de abril de 2021</w:t>
        </w:r>
      </w:hyperlink>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13.6 O gestor do contrato deverá enviar a documentação pertinente ao setor de contratos para a formalização dos procedimentos de liquidação e pagamento, no valor dimensionado pela fiscalização e gestão nos termos do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13.7 O contratado deverá manter preposto aceito pela Administração no local do serviço para representá-lo na execução do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13.8 A indicação ou a manutenção do preposto da empresa poderá ser recusada pelo órgão, desde que devidamente justificada, devendo a empresa designar outro para o exercício da atividade.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bCs/>
          <w:sz w:val="18"/>
          <w:szCs w:val="18"/>
        </w:rPr>
      </w:pPr>
      <w:r>
        <w:rPr>
          <w:rFonts w:cs="Book Antiqua" w:ascii="Book Antiqua" w:hAnsi="Book Antiqua"/>
          <w:b/>
          <w:bCs/>
          <w:sz w:val="18"/>
          <w:szCs w:val="18"/>
        </w:rPr>
        <w:t>14. CRITÉRIOS DE MEDIÇÃO E PAGAMENTO</w:t>
      </w:r>
    </w:p>
    <w:p>
      <w:pPr>
        <w:pStyle w:val="Normal"/>
        <w:jc w:val="both"/>
        <w:rPr>
          <w:rFonts w:ascii="Book Antiqua" w:hAnsi="Book Antiqua" w:cs="Book Antiqua"/>
          <w:b/>
          <w:b/>
          <w:bCs/>
          <w:sz w:val="18"/>
          <w:szCs w:val="18"/>
        </w:rPr>
      </w:pPr>
      <w:r>
        <w:rPr>
          <w:rFonts w:cs="Book Antiqua" w:ascii="Book Antiqua" w:hAnsi="Book Antiqua"/>
          <w:b/>
          <w:bCs/>
          <w:sz w:val="18"/>
          <w:szCs w:val="18"/>
        </w:rPr>
      </w:r>
    </w:p>
    <w:p>
      <w:pPr>
        <w:pStyle w:val="Normal"/>
        <w:jc w:val="both"/>
        <w:rPr/>
      </w:pPr>
      <w:r>
        <w:rPr>
          <w:rFonts w:cs="Book Antiqua" w:ascii="Book Antiqua" w:hAnsi="Book Antiqua"/>
          <w:sz w:val="18"/>
          <w:szCs w:val="18"/>
        </w:rPr>
        <w:t>14.1 A emissão da Nota Fiscal/Fatura deve ser precedida do recebimento definitivo dos serviços, nos termos abaixo:</w:t>
      </w:r>
    </w:p>
    <w:p>
      <w:pPr>
        <w:pStyle w:val="Normal"/>
        <w:jc w:val="both"/>
        <w:rPr/>
      </w:pPr>
      <w:r>
        <w:rPr/>
      </w:r>
    </w:p>
    <w:p>
      <w:pPr>
        <w:pStyle w:val="Normal"/>
        <w:jc w:val="both"/>
        <w:rPr/>
      </w:pPr>
      <w:r>
        <w:rPr>
          <w:rFonts w:cs="Book Antiqua" w:ascii="Book Antiqua" w:hAnsi="Book Antiqua"/>
          <w:sz w:val="18"/>
          <w:szCs w:val="18"/>
        </w:rPr>
        <w:t>14.1.1 Ao final de cada etapa da execução contratual, conforme previsto no Cronograma Físico-Financeiro, a Contratada, apresentará a medição prévia dos serviços executados no período, através de planilha e memória de cálculo detalhada.</w:t>
      </w:r>
    </w:p>
    <w:p>
      <w:pPr>
        <w:pStyle w:val="Normal"/>
        <w:jc w:val="both"/>
        <w:rPr/>
      </w:pPr>
      <w:r>
        <w:rPr/>
      </w:r>
    </w:p>
    <w:p>
      <w:pPr>
        <w:pStyle w:val="Normal"/>
        <w:jc w:val="both"/>
        <w:rPr/>
      </w:pPr>
      <w:r>
        <w:rPr>
          <w:rFonts w:cs="Book Antiqua" w:ascii="Book Antiqua" w:hAnsi="Book Antiqua"/>
          <w:sz w:val="18"/>
          <w:szCs w:val="18"/>
        </w:rPr>
        <w:t>14.1.2 Uma etapa será considerada efetivamente concluída quando os serviços previstos para aquela etapa, no Cronograma Físico-Financeiro, estiverem executados em sua totalidade.</w:t>
      </w:r>
    </w:p>
    <w:p>
      <w:pPr>
        <w:pStyle w:val="Normal"/>
        <w:jc w:val="both"/>
        <w:rPr/>
      </w:pPr>
      <w:r>
        <w:rPr/>
      </w:r>
    </w:p>
    <w:p>
      <w:pPr>
        <w:pStyle w:val="Normal"/>
        <w:jc w:val="both"/>
        <w:rPr/>
      </w:pPr>
      <w:r>
        <w:rPr>
          <w:rFonts w:cs="Book Antiqua" w:ascii="Book Antiqua" w:hAnsi="Book Antiqua"/>
          <w:sz w:val="18"/>
          <w:szCs w:val="18"/>
        </w:rPr>
        <w:t>14.1.3 A Contratada também apresentará, a cada medição, os documentos comprobatórios da procedência legal dos produtos e subprodutos utilizados naquela etapa da execução contratual, quando for o caso.</w:t>
      </w:r>
    </w:p>
    <w:p>
      <w:pPr>
        <w:pStyle w:val="Normal"/>
        <w:jc w:val="both"/>
        <w:rPr/>
      </w:pPr>
      <w:r>
        <w:rPr/>
      </w:r>
    </w:p>
    <w:p>
      <w:pPr>
        <w:pStyle w:val="Normal"/>
        <w:jc w:val="both"/>
        <w:rPr/>
      </w:pPr>
      <w:r>
        <w:rPr>
          <w:rFonts w:cs="Book Antiqua" w:ascii="Book Antiqua" w:hAnsi="Book Antiqua"/>
          <w:sz w:val="18"/>
          <w:szCs w:val="18"/>
        </w:rPr>
        <w:t>14.1.4 Ao final de cada período de faturamento, o fiscal técnico do contrato apurará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pPr>
        <w:pStyle w:val="Normal"/>
        <w:jc w:val="both"/>
        <w:rPr/>
      </w:pPr>
      <w:r>
        <w:rPr/>
      </w:r>
    </w:p>
    <w:p>
      <w:pPr>
        <w:pStyle w:val="Normal"/>
        <w:jc w:val="both"/>
        <w:rPr/>
      </w:pPr>
      <w:r>
        <w:rPr>
          <w:rFonts w:cs="Book Antiqua" w:ascii="Book Antiqua" w:hAnsi="Book Antiqua"/>
          <w:sz w:val="18"/>
          <w:szCs w:val="18"/>
        </w:rPr>
        <w:t>14.1.5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pPr>
        <w:pStyle w:val="Normal"/>
        <w:jc w:val="both"/>
        <w:rPr/>
      </w:pPr>
      <w:r>
        <w:rPr/>
      </w:r>
    </w:p>
    <w:p>
      <w:pPr>
        <w:pStyle w:val="Normal"/>
        <w:jc w:val="both"/>
        <w:rPr/>
      </w:pPr>
      <w:r>
        <w:rPr>
          <w:rFonts w:cs="Book Antiqua" w:ascii="Book Antiqua" w:hAnsi="Book Antiqua"/>
          <w:sz w:val="18"/>
          <w:szCs w:val="18"/>
        </w:rPr>
        <w:t>14.1.6 A aprovação da medição prévia apresentada pela Contratada não a exime de qualquer das responsabilidades contratuais, nem implica aceitação definitiva dos serviços executados.</w:t>
      </w:r>
    </w:p>
    <w:p>
      <w:pPr>
        <w:pStyle w:val="Normal"/>
        <w:jc w:val="both"/>
        <w:rPr/>
      </w:pPr>
      <w:r>
        <w:rPr/>
      </w:r>
    </w:p>
    <w:p>
      <w:pPr>
        <w:pStyle w:val="Normal"/>
        <w:jc w:val="both"/>
        <w:rPr/>
      </w:pPr>
      <w:r>
        <w:rPr>
          <w:rFonts w:cs="Book Antiqua" w:ascii="Book Antiqua" w:hAnsi="Book Antiqua"/>
          <w:sz w:val="18"/>
          <w:szCs w:val="18"/>
        </w:rPr>
        <w:t>14.1.7 Os serviços poderão ser rejeitados, no todo ou em parte, quando em desacordo com as especificações, devendo ser corrigidos/refeitos/substituídos no prazo fixado pelo fiscal do contrato, às custas da Contratada, sem prejuízo da aplicação de penalidades.</w:t>
      </w:r>
    </w:p>
    <w:p>
      <w:pPr>
        <w:pStyle w:val="Normal"/>
        <w:jc w:val="both"/>
        <w:rPr/>
      </w:pPr>
      <w:r>
        <w:rPr/>
      </w:r>
    </w:p>
    <w:p>
      <w:pPr>
        <w:pStyle w:val="Normal"/>
        <w:jc w:val="both"/>
        <w:rPr/>
      </w:pPr>
      <w:r>
        <w:rPr>
          <w:rFonts w:cs="Book Antiqua" w:ascii="Book Antiqua" w:hAnsi="Book Antiqua"/>
          <w:sz w:val="18"/>
          <w:szCs w:val="18"/>
        </w:rPr>
        <w:t>14.1.8 O pagamento será efetuado à empresa Contratada no prazo de até 30 (trinta) dias corridos, de acordo com o cronograma físico-financeiro constante do Projeto Básico , contados da data do atesto da área competente da Prefeitura, aposto nos documentos de cobrança, e de acordo com a evolução da obra, conforme cronograma físico-financeiro apresentado pela Secretaria Demandante. Não será efetuado qualquer pagamento à licitante vencedora enquanto perdurar pendência de liquidação de obrigações em virtude de penalidades ou inadimplência contratual.</w:t>
      </w:r>
    </w:p>
    <w:p>
      <w:pPr>
        <w:pStyle w:val="Normal"/>
        <w:jc w:val="both"/>
        <w:rPr/>
      </w:pPr>
      <w:r>
        <w:rPr/>
      </w:r>
    </w:p>
    <w:p>
      <w:pPr>
        <w:pStyle w:val="Normal"/>
        <w:jc w:val="both"/>
        <w:rPr/>
      </w:pPr>
      <w:r>
        <w:rPr>
          <w:rFonts w:cs="Book Antiqua" w:ascii="Book Antiqua" w:hAnsi="Book Antiqua"/>
          <w:sz w:val="18"/>
          <w:szCs w:val="18"/>
        </w:rPr>
        <w:t>14.1.9 Não será efetuado qualquer pagamento à Contratada enquanto perdurar pendência de liquidação de obrigações em virtude de penalidades ou inadimplência contratual.</w:t>
      </w:r>
    </w:p>
    <w:p>
      <w:pPr>
        <w:pStyle w:val="Normal"/>
        <w:jc w:val="both"/>
        <w:rPr/>
      </w:pPr>
      <w:r>
        <w:rPr/>
      </w:r>
    </w:p>
    <w:p>
      <w:pPr>
        <w:pStyle w:val="Normal"/>
        <w:jc w:val="both"/>
        <w:rPr/>
      </w:pPr>
      <w:r>
        <w:rPr>
          <w:rFonts w:cs="Book Antiqua" w:ascii="Book Antiqua" w:hAnsi="Book Antiqua"/>
          <w:sz w:val="18"/>
          <w:szCs w:val="18"/>
        </w:rPr>
        <w:t>14.1.10 A liberação do pagamento ficará condicionada a consulta prévia ao Sistema de Cadastramento da Prefeitura para verificação da situação da Contratada em relação às condições de habilitação e qualificação exigidas, cujo resultado será impresso e juntado aos autos do processo.</w:t>
      </w:r>
    </w:p>
    <w:p>
      <w:pPr>
        <w:pStyle w:val="Normal"/>
        <w:jc w:val="both"/>
        <w:rPr/>
      </w:pPr>
      <w:r>
        <w:rPr/>
      </w:r>
    </w:p>
    <w:p>
      <w:pPr>
        <w:pStyle w:val="Normal"/>
        <w:jc w:val="both"/>
        <w:rPr/>
      </w:pPr>
      <w:r>
        <w:rPr>
          <w:rFonts w:cs="Book Antiqua" w:ascii="Book Antiqua" w:hAnsi="Book Antiqua"/>
          <w:sz w:val="18"/>
          <w:szCs w:val="18"/>
        </w:rPr>
        <w:t>14.1.11 O Contratante pagará a(s) Nota(s) Fiscal (is) / Fatura(s) somente à Contratada, vedada sua negociação com terceiros ou sua colocação em cobrança bancária.</w:t>
      </w:r>
    </w:p>
    <w:p>
      <w:pPr>
        <w:pStyle w:val="Normal"/>
        <w:jc w:val="both"/>
        <w:rPr/>
      </w:pPr>
      <w:r>
        <w:rPr/>
      </w:r>
    </w:p>
    <w:p>
      <w:pPr>
        <w:pStyle w:val="Normal"/>
        <w:jc w:val="both"/>
        <w:rPr/>
      </w:pPr>
      <w:r>
        <w:rPr>
          <w:rFonts w:cs="Book Antiqua" w:ascii="Book Antiqua" w:hAnsi="Book Antiqua"/>
          <w:sz w:val="18"/>
          <w:szCs w:val="18"/>
        </w:rPr>
        <w:t>14.1.12 A empresa Contratada deverá fazer constar na Nota Fiscal/Fatura correspondente, emitida sem rasura, e em letra bem legível, o número de sua conta-corrente, o nome do Banco e a respectiva Agência.</w:t>
      </w:r>
    </w:p>
    <w:p>
      <w:pPr>
        <w:pStyle w:val="Normal"/>
        <w:jc w:val="both"/>
        <w:rPr/>
      </w:pPr>
      <w:r>
        <w:rPr/>
      </w:r>
    </w:p>
    <w:p>
      <w:pPr>
        <w:pStyle w:val="Normal"/>
        <w:jc w:val="both"/>
        <w:rPr/>
      </w:pPr>
      <w:r>
        <w:rPr>
          <w:rFonts w:cs="Book Antiqua" w:ascii="Book Antiqua" w:hAnsi="Book Antiqua"/>
          <w:sz w:val="18"/>
          <w:szCs w:val="18"/>
        </w:rPr>
        <w:t>14.1.13 A Fiscalização da Prefeitura somente atestará a execução dos serviços e liberará a Nota Fiscal para pagamento, quando cumpridas, pela CONTRATADA, todas as condições pactuadas.</w:t>
      </w:r>
    </w:p>
    <w:p>
      <w:pPr>
        <w:pStyle w:val="Normal"/>
        <w:jc w:val="both"/>
        <w:rPr/>
      </w:pPr>
      <w:r>
        <w:rPr/>
      </w:r>
    </w:p>
    <w:p>
      <w:pPr>
        <w:pStyle w:val="Normal"/>
        <w:jc w:val="both"/>
        <w:rPr/>
      </w:pPr>
      <w:r>
        <w:rPr>
          <w:rFonts w:cs="Book Antiqua" w:ascii="Book Antiqua" w:hAnsi="Book Antiqua"/>
          <w:sz w:val="18"/>
          <w:szCs w:val="18"/>
        </w:rPr>
        <w:t>14.1.14 Os pagamentos serão efetuados por etapas de serviços executados, de acordo com o cronograma físico-financeiro e planilha orçamentária apresentada, não se admitindo em nenhuma hipótese o pagamento de materiais entregues no local do objeto.</w:t>
      </w:r>
    </w:p>
    <w:p>
      <w:pPr>
        <w:pStyle w:val="Normal"/>
        <w:jc w:val="both"/>
        <w:rPr/>
      </w:pPr>
      <w:r>
        <w:rPr/>
      </w:r>
    </w:p>
    <w:p>
      <w:pPr>
        <w:pStyle w:val="Normal"/>
        <w:jc w:val="both"/>
        <w:rPr/>
      </w:pPr>
      <w:r>
        <w:rPr>
          <w:rFonts w:cs="Book Antiqua" w:ascii="Book Antiqua" w:hAnsi="Book Antiqua"/>
          <w:sz w:val="18"/>
          <w:szCs w:val="18"/>
        </w:rPr>
        <w:t>14.1.15 Para efeito de pagamento das etapas de serviços executados, será observado o que estabelecem as legislações vigentes do INSS e FGTS quanto aos procedimentos de retenção, recolhimento e fiscalizações relativas aos encargos previdenciários.</w:t>
      </w:r>
    </w:p>
    <w:p>
      <w:pPr>
        <w:pStyle w:val="Normal"/>
        <w:jc w:val="both"/>
        <w:rPr/>
      </w:pPr>
      <w:r>
        <w:rPr/>
      </w:r>
    </w:p>
    <w:p>
      <w:pPr>
        <w:pStyle w:val="Normal"/>
        <w:jc w:val="both"/>
        <w:rPr/>
      </w:pPr>
      <w:r>
        <w:rPr>
          <w:rFonts w:cs="Book Antiqua" w:ascii="Book Antiqua" w:hAnsi="Book Antiqua"/>
          <w:sz w:val="18"/>
          <w:szCs w:val="18"/>
        </w:rPr>
        <w:t>14.1.16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Prefeitura.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bCs/>
          <w:sz w:val="18"/>
          <w:szCs w:val="18"/>
        </w:rPr>
      </w:pPr>
      <w:r>
        <w:rPr>
          <w:rFonts w:cs="Book Antiqua" w:ascii="Book Antiqua" w:hAnsi="Book Antiqua"/>
          <w:b/>
          <w:bCs/>
          <w:sz w:val="18"/>
          <w:szCs w:val="18"/>
        </w:rPr>
        <w:t>14.2 DOS BOLETINS DE MEDIÇÃO E MEMORIAL DE CÁLCULO</w:t>
      </w:r>
    </w:p>
    <w:p>
      <w:pPr>
        <w:pStyle w:val="Normal"/>
        <w:jc w:val="both"/>
        <w:rPr>
          <w:rFonts w:ascii="Book Antiqua" w:hAnsi="Book Antiqua" w:cs="Book Antiqua"/>
          <w:b/>
          <w:b/>
          <w:bCs/>
          <w:sz w:val="18"/>
          <w:szCs w:val="18"/>
        </w:rPr>
      </w:pPr>
      <w:r>
        <w:rPr>
          <w:rFonts w:cs="Book Antiqua" w:ascii="Book Antiqua" w:hAnsi="Book Antiqua"/>
          <w:b/>
          <w:bCs/>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11.2.1 Ao final de cada mês e ao final do serviço, a CONTRATADA deve proceder à elaboração dos Boletins de Medição e respectivo Memorial de Cálculo, os quais deverão ser sequencialmente numerados e conter, no cabeçalho, as seguintes informações mínimas:</w:t>
      </w:r>
    </w:p>
    <w:p>
      <w:pPr>
        <w:pStyle w:val="Normal"/>
        <w:rPr>
          <w:rFonts w:ascii="Book Antiqua" w:hAnsi="Book Antiqua"/>
          <w:sz w:val="18"/>
          <w:szCs w:val="18"/>
        </w:rPr>
      </w:pPr>
      <w:r>
        <w:rPr>
          <w:rFonts w:ascii="Book Antiqua" w:hAnsi="Book Antiqua"/>
          <w:sz w:val="18"/>
          <w:szCs w:val="18"/>
        </w:rPr>
      </w:r>
    </w:p>
    <w:p>
      <w:pPr>
        <w:pStyle w:val="Normal"/>
        <w:numPr>
          <w:ilvl w:val="0"/>
          <w:numId w:val="41"/>
        </w:numPr>
        <w:rPr>
          <w:rFonts w:ascii="Book Antiqua" w:hAnsi="Book Antiqua"/>
          <w:sz w:val="18"/>
          <w:szCs w:val="18"/>
        </w:rPr>
      </w:pPr>
      <w:r>
        <w:rPr>
          <w:rFonts w:ascii="Book Antiqua" w:hAnsi="Book Antiqua"/>
          <w:sz w:val="18"/>
          <w:szCs w:val="18"/>
        </w:rPr>
        <w:t>Número e data do contrato;</w:t>
      </w:r>
    </w:p>
    <w:p>
      <w:pPr>
        <w:pStyle w:val="Normal"/>
        <w:numPr>
          <w:ilvl w:val="0"/>
          <w:numId w:val="42"/>
        </w:numPr>
        <w:rPr>
          <w:rFonts w:ascii="Book Antiqua" w:hAnsi="Book Antiqua"/>
          <w:sz w:val="18"/>
          <w:szCs w:val="18"/>
        </w:rPr>
      </w:pPr>
      <w:r>
        <w:rPr>
          <w:rFonts w:ascii="Book Antiqua" w:hAnsi="Book Antiqua"/>
          <w:sz w:val="18"/>
          <w:szCs w:val="18"/>
        </w:rPr>
        <w:t>Número e data da Ordem Inicial de Serviço (OIS);</w:t>
      </w:r>
    </w:p>
    <w:p>
      <w:pPr>
        <w:pStyle w:val="Normal"/>
        <w:numPr>
          <w:ilvl w:val="0"/>
          <w:numId w:val="43"/>
        </w:numPr>
        <w:rPr>
          <w:rFonts w:ascii="Book Antiqua" w:hAnsi="Book Antiqua"/>
          <w:sz w:val="18"/>
          <w:szCs w:val="18"/>
        </w:rPr>
      </w:pPr>
      <w:r>
        <w:rPr>
          <w:rFonts w:ascii="Book Antiqua" w:hAnsi="Book Antiqua"/>
          <w:sz w:val="18"/>
          <w:szCs w:val="18"/>
        </w:rPr>
        <w:t>Nome da Contratada;</w:t>
      </w:r>
    </w:p>
    <w:p>
      <w:pPr>
        <w:pStyle w:val="Normal"/>
        <w:numPr>
          <w:ilvl w:val="0"/>
          <w:numId w:val="44"/>
        </w:numPr>
        <w:rPr>
          <w:rFonts w:ascii="Book Antiqua" w:hAnsi="Book Antiqua"/>
          <w:sz w:val="18"/>
          <w:szCs w:val="18"/>
        </w:rPr>
      </w:pPr>
      <w:r>
        <w:rPr>
          <w:rFonts w:ascii="Book Antiqua" w:hAnsi="Book Antiqua"/>
          <w:sz w:val="18"/>
          <w:szCs w:val="18"/>
        </w:rPr>
        <w:t>Data Base de Referência;</w:t>
      </w:r>
    </w:p>
    <w:p>
      <w:pPr>
        <w:pStyle w:val="Normal"/>
        <w:numPr>
          <w:ilvl w:val="0"/>
          <w:numId w:val="45"/>
        </w:numPr>
        <w:rPr>
          <w:rFonts w:ascii="Book Antiqua" w:hAnsi="Book Antiqua"/>
          <w:sz w:val="18"/>
          <w:szCs w:val="18"/>
        </w:rPr>
      </w:pPr>
      <w:r>
        <w:rPr>
          <w:rFonts w:ascii="Book Antiqua" w:hAnsi="Book Antiqua"/>
          <w:sz w:val="18"/>
          <w:szCs w:val="18"/>
        </w:rPr>
        <w:t>Período da medição;</w:t>
      </w:r>
    </w:p>
    <w:p>
      <w:pPr>
        <w:pStyle w:val="Normal"/>
        <w:numPr>
          <w:ilvl w:val="0"/>
          <w:numId w:val="46"/>
        </w:numPr>
        <w:rPr>
          <w:rFonts w:ascii="Book Antiqua" w:hAnsi="Book Antiqua"/>
          <w:sz w:val="18"/>
          <w:szCs w:val="18"/>
        </w:rPr>
      </w:pPr>
      <w:r>
        <w:rPr>
          <w:rFonts w:ascii="Book Antiqua" w:hAnsi="Book Antiqua"/>
          <w:sz w:val="18"/>
          <w:szCs w:val="18"/>
        </w:rPr>
        <w:t>Data da medição;</w:t>
      </w:r>
    </w:p>
    <w:p>
      <w:pPr>
        <w:pStyle w:val="Normal"/>
        <w:numPr>
          <w:ilvl w:val="0"/>
          <w:numId w:val="47"/>
        </w:numPr>
        <w:rPr>
          <w:rFonts w:ascii="Book Antiqua" w:hAnsi="Book Antiqua"/>
          <w:sz w:val="18"/>
          <w:szCs w:val="18"/>
        </w:rPr>
      </w:pPr>
      <w:r>
        <w:rPr>
          <w:rFonts w:ascii="Book Antiqua" w:hAnsi="Book Antiqua"/>
          <w:sz w:val="18"/>
          <w:szCs w:val="18"/>
        </w:rPr>
        <w:t>Saldo contratual;</w:t>
      </w:r>
    </w:p>
    <w:p>
      <w:pPr>
        <w:pStyle w:val="Normal"/>
        <w:rPr>
          <w:rFonts w:ascii="Book Antiqua" w:hAnsi="Book Antiqua"/>
          <w:sz w:val="18"/>
          <w:szCs w:val="18"/>
        </w:rPr>
      </w:pPr>
      <w:r>
        <w:rPr>
          <w:rFonts w:ascii="Book Antiqua" w:hAnsi="Book Antiqua"/>
          <w:sz w:val="18"/>
          <w:szCs w:val="18"/>
        </w:rPr>
      </w:r>
    </w:p>
    <w:p>
      <w:pPr>
        <w:pStyle w:val="Normal"/>
        <w:rPr>
          <w:rFonts w:ascii="Book Antiqua" w:hAnsi="Book Antiqua"/>
          <w:sz w:val="18"/>
          <w:szCs w:val="18"/>
        </w:rPr>
      </w:pPr>
      <w:r>
        <w:rPr>
          <w:rFonts w:ascii="Book Antiqua" w:hAnsi="Book Antiqua"/>
          <w:sz w:val="18"/>
          <w:szCs w:val="18"/>
        </w:rPr>
        <w:t>14.2.2. Os boletins de medição precisam ter, necessariamente, as seguintes colunas:</w:t>
      </w:r>
    </w:p>
    <w:p>
      <w:pPr>
        <w:pStyle w:val="Normal"/>
        <w:rPr>
          <w:rFonts w:ascii="Book Antiqua" w:hAnsi="Book Antiqua"/>
          <w:sz w:val="18"/>
          <w:szCs w:val="18"/>
        </w:rPr>
      </w:pPr>
      <w:r>
        <w:rPr>
          <w:rFonts w:ascii="Book Antiqua" w:hAnsi="Book Antiqua"/>
          <w:sz w:val="18"/>
          <w:szCs w:val="18"/>
        </w:rPr>
      </w:r>
    </w:p>
    <w:p>
      <w:pPr>
        <w:pStyle w:val="Normal"/>
        <w:numPr>
          <w:ilvl w:val="0"/>
          <w:numId w:val="48"/>
        </w:numPr>
        <w:rPr>
          <w:rFonts w:ascii="Book Antiqua" w:hAnsi="Book Antiqua"/>
          <w:sz w:val="18"/>
          <w:szCs w:val="18"/>
        </w:rPr>
      </w:pPr>
      <w:r>
        <w:rPr>
          <w:rFonts w:ascii="Book Antiqua" w:hAnsi="Book Antiqua"/>
          <w:sz w:val="18"/>
          <w:szCs w:val="18"/>
        </w:rPr>
        <w:t>Descrição do item;</w:t>
      </w:r>
    </w:p>
    <w:p>
      <w:pPr>
        <w:pStyle w:val="Normal"/>
        <w:numPr>
          <w:ilvl w:val="0"/>
          <w:numId w:val="49"/>
        </w:numPr>
        <w:rPr>
          <w:rFonts w:ascii="Book Antiqua" w:hAnsi="Book Antiqua"/>
          <w:sz w:val="18"/>
          <w:szCs w:val="18"/>
        </w:rPr>
      </w:pPr>
      <w:r>
        <w:rPr>
          <w:rFonts w:ascii="Book Antiqua" w:hAnsi="Book Antiqua"/>
          <w:sz w:val="18"/>
          <w:szCs w:val="18"/>
        </w:rPr>
        <w:t>Unidade de apropriação (m, kg, um, t, m², m³, etc.);</w:t>
      </w:r>
    </w:p>
    <w:p>
      <w:pPr>
        <w:pStyle w:val="Normal"/>
        <w:numPr>
          <w:ilvl w:val="0"/>
          <w:numId w:val="50"/>
        </w:numPr>
        <w:rPr>
          <w:rFonts w:ascii="Book Antiqua" w:hAnsi="Book Antiqua"/>
          <w:sz w:val="18"/>
          <w:szCs w:val="18"/>
        </w:rPr>
      </w:pPr>
      <w:r>
        <w:rPr>
          <w:rFonts w:ascii="Book Antiqua" w:hAnsi="Book Antiqua"/>
          <w:sz w:val="18"/>
          <w:szCs w:val="18"/>
        </w:rPr>
        <w:t>Quantidade prevista em contrato;</w:t>
      </w:r>
    </w:p>
    <w:p>
      <w:pPr>
        <w:pStyle w:val="Normal"/>
        <w:numPr>
          <w:ilvl w:val="0"/>
          <w:numId w:val="51"/>
        </w:numPr>
        <w:rPr>
          <w:rFonts w:ascii="Book Antiqua" w:hAnsi="Book Antiqua"/>
          <w:sz w:val="18"/>
          <w:szCs w:val="18"/>
        </w:rPr>
      </w:pPr>
      <w:r>
        <w:rPr>
          <w:rFonts w:ascii="Book Antiqua" w:hAnsi="Book Antiqua"/>
          <w:sz w:val="18"/>
          <w:szCs w:val="18"/>
        </w:rPr>
        <w:t>Preço Unitário;</w:t>
      </w:r>
    </w:p>
    <w:p>
      <w:pPr>
        <w:pStyle w:val="Normal"/>
        <w:numPr>
          <w:ilvl w:val="0"/>
          <w:numId w:val="52"/>
        </w:numPr>
        <w:rPr>
          <w:rFonts w:ascii="Book Antiqua" w:hAnsi="Book Antiqua"/>
          <w:sz w:val="18"/>
          <w:szCs w:val="18"/>
        </w:rPr>
      </w:pPr>
      <w:r>
        <w:rPr>
          <w:rFonts w:ascii="Book Antiqua" w:hAnsi="Book Antiqua"/>
          <w:sz w:val="18"/>
          <w:szCs w:val="18"/>
        </w:rPr>
        <w:t>Quantidade medida no período;</w:t>
      </w:r>
    </w:p>
    <w:p>
      <w:pPr>
        <w:pStyle w:val="Normal"/>
        <w:numPr>
          <w:ilvl w:val="0"/>
          <w:numId w:val="53"/>
        </w:numPr>
        <w:rPr>
          <w:rFonts w:ascii="Book Antiqua" w:hAnsi="Book Antiqua"/>
          <w:sz w:val="18"/>
          <w:szCs w:val="18"/>
        </w:rPr>
      </w:pPr>
      <w:r>
        <w:rPr>
          <w:rFonts w:ascii="Book Antiqua" w:hAnsi="Book Antiqua"/>
          <w:sz w:val="18"/>
          <w:szCs w:val="18"/>
        </w:rPr>
        <w:t>Quantidade medida acumulada;</w:t>
      </w:r>
    </w:p>
    <w:p>
      <w:pPr>
        <w:pStyle w:val="Normal"/>
        <w:numPr>
          <w:ilvl w:val="0"/>
          <w:numId w:val="54"/>
        </w:numPr>
        <w:rPr>
          <w:rFonts w:ascii="Book Antiqua" w:hAnsi="Book Antiqua"/>
          <w:sz w:val="18"/>
          <w:szCs w:val="18"/>
        </w:rPr>
      </w:pPr>
      <w:r>
        <w:rPr>
          <w:rFonts w:ascii="Book Antiqua" w:hAnsi="Book Antiqua"/>
          <w:sz w:val="18"/>
          <w:szCs w:val="18"/>
        </w:rPr>
        <w:t>Código do serviço (vinculando-o à tabela de referência utilizada);</w:t>
      </w:r>
    </w:p>
    <w:p>
      <w:pPr>
        <w:pStyle w:val="Normal"/>
        <w:numPr>
          <w:ilvl w:val="0"/>
          <w:numId w:val="55"/>
        </w:numPr>
        <w:rPr>
          <w:rFonts w:ascii="Book Antiqua" w:hAnsi="Book Antiqua"/>
          <w:sz w:val="18"/>
          <w:szCs w:val="18"/>
        </w:rPr>
      </w:pPr>
      <w:r>
        <w:rPr>
          <w:rFonts w:ascii="Book Antiqua" w:hAnsi="Book Antiqua"/>
          <w:sz w:val="18"/>
          <w:szCs w:val="18"/>
        </w:rPr>
        <w:t>Preço unitário de referência no orçamento básico;</w:t>
      </w:r>
    </w:p>
    <w:p>
      <w:pPr>
        <w:pStyle w:val="Normal"/>
        <w:numPr>
          <w:ilvl w:val="0"/>
          <w:numId w:val="56"/>
        </w:numPr>
        <w:rPr>
          <w:rFonts w:ascii="Book Antiqua" w:hAnsi="Book Antiqua"/>
          <w:sz w:val="18"/>
          <w:szCs w:val="18"/>
        </w:rPr>
      </w:pPr>
      <w:r>
        <w:rPr>
          <w:rFonts w:ascii="Book Antiqua" w:hAnsi="Book Antiqua"/>
          <w:sz w:val="18"/>
          <w:szCs w:val="18"/>
        </w:rPr>
        <w:t>Quantidade medida até a medição anterior;</w:t>
      </w:r>
    </w:p>
    <w:p>
      <w:pPr>
        <w:pStyle w:val="Normal"/>
        <w:numPr>
          <w:ilvl w:val="0"/>
          <w:numId w:val="57"/>
        </w:numPr>
        <w:rPr>
          <w:rFonts w:ascii="Book Antiqua" w:hAnsi="Book Antiqua"/>
          <w:sz w:val="18"/>
          <w:szCs w:val="18"/>
        </w:rPr>
      </w:pPr>
      <w:r>
        <w:rPr>
          <w:rFonts w:ascii="Book Antiqua" w:hAnsi="Book Antiqua"/>
          <w:sz w:val="18"/>
          <w:szCs w:val="18"/>
        </w:rPr>
        <w:t>Saldo (quantitativo de cada serviço).</w:t>
      </w:r>
    </w:p>
    <w:p>
      <w:pPr>
        <w:pStyle w:val="Normal"/>
        <w:rPr>
          <w:rFonts w:ascii="Book Antiqua" w:hAnsi="Book Antiqua"/>
          <w:sz w:val="18"/>
          <w:szCs w:val="18"/>
        </w:rPr>
      </w:pPr>
      <w:r>
        <w:rPr>
          <w:rFonts w:ascii="Book Antiqua" w:hAnsi="Book Antiqua"/>
          <w:sz w:val="18"/>
          <w:szCs w:val="18"/>
        </w:rPr>
      </w:r>
    </w:p>
    <w:p>
      <w:pPr>
        <w:pStyle w:val="Normal"/>
        <w:rPr>
          <w:rFonts w:ascii="Book Antiqua" w:hAnsi="Book Antiqua"/>
          <w:sz w:val="18"/>
          <w:szCs w:val="18"/>
        </w:rPr>
      </w:pPr>
      <w:r>
        <w:rPr>
          <w:rFonts w:ascii="Book Antiqua" w:hAnsi="Book Antiqua"/>
          <w:sz w:val="18"/>
          <w:szCs w:val="18"/>
        </w:rPr>
        <w:t>14.2.3 Memorial de Cálculo que serão lançados no Boletim de Medição contendo todos os Cálculos Aritméticos;</w:t>
      </w:r>
    </w:p>
    <w:p>
      <w:pPr>
        <w:pStyle w:val="Normal"/>
        <w:rPr>
          <w:rFonts w:ascii="Book Antiqua" w:hAnsi="Book Antiqua"/>
          <w:sz w:val="18"/>
          <w:szCs w:val="18"/>
        </w:rPr>
      </w:pPr>
      <w:r>
        <w:rPr>
          <w:rFonts w:ascii="Book Antiqua" w:hAnsi="Book Antiqua"/>
          <w:sz w:val="18"/>
          <w:szCs w:val="18"/>
        </w:rPr>
      </w:r>
    </w:p>
    <w:p>
      <w:pPr>
        <w:pStyle w:val="Normal"/>
        <w:rPr>
          <w:rFonts w:ascii="Book Antiqua" w:hAnsi="Book Antiqua"/>
          <w:sz w:val="18"/>
          <w:szCs w:val="18"/>
        </w:rPr>
      </w:pPr>
      <w:r>
        <w:rPr>
          <w:rFonts w:ascii="Book Antiqua" w:hAnsi="Book Antiqua"/>
          <w:sz w:val="18"/>
          <w:szCs w:val="18"/>
        </w:rPr>
        <w:t>14.3.4. Documentos diversos: declaração, ficha de cotações, testes e ensaios em geral quando necessário;</w:t>
      </w:r>
    </w:p>
    <w:p>
      <w:pPr>
        <w:pStyle w:val="Normal"/>
        <w:rPr>
          <w:rFonts w:ascii="Book Antiqua" w:hAnsi="Book Antiqua"/>
          <w:sz w:val="18"/>
          <w:szCs w:val="18"/>
        </w:rPr>
      </w:pPr>
      <w:r>
        <w:rPr>
          <w:rFonts w:ascii="Book Antiqua" w:hAnsi="Book Antiqua"/>
          <w:sz w:val="18"/>
          <w:szCs w:val="18"/>
        </w:rPr>
      </w:r>
    </w:p>
    <w:p>
      <w:pPr>
        <w:pStyle w:val="Normal"/>
        <w:rPr>
          <w:rFonts w:ascii="Book Antiqua" w:hAnsi="Book Antiqua"/>
          <w:sz w:val="18"/>
          <w:szCs w:val="18"/>
        </w:rPr>
      </w:pPr>
      <w:r>
        <w:rPr>
          <w:rFonts w:ascii="Book Antiqua" w:hAnsi="Book Antiqua"/>
          <w:sz w:val="18"/>
          <w:szCs w:val="18"/>
        </w:rPr>
        <w:t>14.3.5 Relatório Fotográfico com no mínimo 20 (vinte) fotos datadas e georreferenciadas;</w:t>
      </w:r>
    </w:p>
    <w:p>
      <w:pPr>
        <w:pStyle w:val="NoSpacing"/>
        <w:spacing w:lineRule="auto" w:line="276"/>
        <w:jc w:val="both"/>
        <w:rPr>
          <w:lang w:val="pt-BR"/>
        </w:rPr>
      </w:pPr>
      <w:r>
        <w:rPr>
          <w:lang w:val="pt-BR"/>
        </w:rPr>
      </w:r>
    </w:p>
    <w:p>
      <w:pPr>
        <w:pStyle w:val="Normal"/>
        <w:jc w:val="both"/>
        <w:rPr>
          <w:rFonts w:ascii="Book Antiqua" w:hAnsi="Book Antiqua" w:cs="Book Antiqua"/>
          <w:sz w:val="18"/>
          <w:szCs w:val="18"/>
        </w:rPr>
      </w:pPr>
      <w:r>
        <w:rPr>
          <w:rFonts w:cs="Book Antiqua" w:ascii="Book Antiqua" w:hAnsi="Book Antiqua"/>
          <w:sz w:val="18"/>
          <w:szCs w:val="18"/>
        </w:rPr>
        <w:t>14.3.6 Todos os documentos relativos ao Boletim de Medição devem ser devidamente assinados pelos profissionais que atuaram na sua elaboração.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14.3.7 Condicionado ao pagamento será ainda observada as demais condições relacionadas ao Estudo Técnico Preliminar – ETP, </w:t>
      </w:r>
      <w:r>
        <w:rPr/>
        <w:t xml:space="preserve">Projeto Básico </w:t>
      </w:r>
      <w:r>
        <w:rPr>
          <w:rFonts w:cs="Book Antiqua" w:ascii="Book Antiqua" w:hAnsi="Book Antiqua"/>
          <w:sz w:val="18"/>
          <w:szCs w:val="18"/>
        </w:rPr>
        <w:t>/Minuta de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pPr>
      <w:r>
        <w:rPr>
          <w:rFonts w:cs="Book Antiqua" w:ascii="Book Antiqua" w:hAnsi="Book Antiqua"/>
          <w:b/>
          <w:bCs/>
          <w:sz w:val="18"/>
          <w:szCs w:val="18"/>
        </w:rPr>
        <w:t>15. DAS OBRIGAÇÕES DO LICITANTE VENCEDOR</w:t>
      </w:r>
    </w:p>
    <w:p>
      <w:pPr>
        <w:pStyle w:val="Normal"/>
        <w:rPr>
          <w:rFonts w:ascii="Book Antiqua" w:hAnsi="Book Antiqua" w:cs="Book Antiqua"/>
          <w:b/>
          <w:b/>
          <w:bCs/>
          <w:sz w:val="18"/>
          <w:szCs w:val="18"/>
        </w:rPr>
      </w:pPr>
      <w:r>
        <w:rPr>
          <w:rFonts w:cs="Book Antiqua" w:ascii="Book Antiqua" w:hAnsi="Book Antiqua"/>
          <w:b/>
          <w:bCs/>
          <w:sz w:val="18"/>
          <w:szCs w:val="18"/>
        </w:rPr>
      </w:r>
    </w:p>
    <w:p>
      <w:pPr>
        <w:pStyle w:val="Normal"/>
        <w:jc w:val="both"/>
        <w:rPr/>
      </w:pPr>
      <w:r>
        <w:rPr>
          <w:rFonts w:ascii="Book Antiqua" w:hAnsi="Book Antiqua"/>
          <w:sz w:val="18"/>
          <w:szCs w:val="18"/>
        </w:rPr>
        <w:t xml:space="preserve">15.1. Executar os serviços, objeto desta licitação, observando este </w:t>
      </w:r>
      <w:r>
        <w:rPr/>
        <w:t xml:space="preserve">Projeto Básico </w:t>
      </w:r>
      <w:r>
        <w:rPr>
          <w:rFonts w:ascii="Book Antiqua" w:hAnsi="Book Antiqua"/>
          <w:sz w:val="18"/>
          <w:szCs w:val="18"/>
        </w:rPr>
        <w:t>e, de modo geral, as Especificações e as Normas Técnicas vigentes, aquelas complementares e particulares e outras pertinentes aos serviços em licitação, constantes dos respectivos projetos, as instruções, recomendações e determinações da Fiscalização e, quando houver, da Supervisão e dos Órgãos Ambientais.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15.2. Elaborar e manter o Diário de Obras, que será preenchido diariamente pelo engenheiro residente da empresa e pelo fiscal da Administração Pública. Ao término de cada mês, uma via do Diário de Obras deverá será anexado à medição mensal dos serviços executados, devendo permanecer outra via arquivada no canteiro de obras da empresa.</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15.3. Prestar os serviços dentro dos parâmetros e rotinas estabelecidos, fornecendo todos os materiais, equipamentos e utensílios em quantidade, qualidade e tecnologia adequadas, com a observância às recomendações aceitas pela boa técnica, normas e legislação.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15.4. Manter em perfeito estado de limpeza os locais afetados pela execução dos serviços, recolhendo os entulhos, dando-lhes o destino adequado.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15.5. Prestar assessoria técnica com orientações, sugestões, instruções ou recomendações, exemplos de aplicação em outros serviços e assistências técnicas de interesse do Município de Rondonópolis/MT em relação a serviços e atividades que envolvam o objeto do contrato, fornecendo normas para aperfeiçoar e garantir eficiência aos serviços.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15.6. Manter, durante a execução dos serviços, o pessoal devidamente uniformizado, limpo, em boas condições de higiene e segurança, identificados com crachás e usando, quando for o caso, equipamento de proteção individual (EPI) apropriado. Assegurar aos seus trabalhadores ambiente de trabalho, inclusive equipamentos e instalações, em condições adequadas ao cumprimento das normas de saúde, segurança e bem-estar no trabalho.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15.7. Comunicar a Secretaria de Infraestrutura, sempre que for iniciar uma atividade ou da conclusão de atividades em execução, mantendo estreita comunicação com a fiscalização.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15.8. Pagar em dia os salários e demais benefícios aos seus empregados, bem como recolher, no prazo legal, todos os encargos e tributos.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15.9. Sempre que solicitado pelo Fiscal do contrato, comprovar a vinculação dos funcionários ao contrato.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15.10. Manter durante toda a vigência do contrato, em compatibilidade com as obrigações assumidas, todas as condições de habilitação e qualificação exigidas na licitação.</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15.11. Refazer, às suas expensas, os trabalhos executados em desacordo com o estabelecido no instrumento contratual, neste </w:t>
      </w:r>
      <w:r>
        <w:rPr/>
        <w:t xml:space="preserve">Projeto Básico </w:t>
      </w:r>
      <w:r>
        <w:rPr>
          <w:rFonts w:ascii="Book Antiqua" w:hAnsi="Book Antiqua"/>
          <w:sz w:val="18"/>
          <w:szCs w:val="18"/>
        </w:rPr>
        <w:t xml:space="preserve"> e seus anexos, bem como substituir aqueles realizados com materiais defeituosos ou com vício de construção, pelo prazo de 05 (cinco) anos, contado da data de emissão do Termo de Recebimento Definitivo.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15.12. Responsabilizar-se pela perfeita execução e completo acabamento dos serviços contratados, obrigando-se a prestar assistência técnica e administrativa necessária para assegurar andamento conveniente dos trabalhos.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15.13. Submeter à fiscalização as amostras de todos os materiais a serem empregados nos serviços antes da sua execução, quando solicitado.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15.14. Responsabilizar-se pelos ônus resultantes de quaisquer ações, demandas, custos e despesas decorrentes de danos, ocorridos por culpa sua ou de qualquer de seus empregados e prepostos, obrigando-se por quaisquer responsabilidades decorrentes de ações judiciais movidas por terceiros, que lhe venham a ser exigidas por força de lei, ligadas ao cumprimento do presente edital.</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15.15. Responder por danos materiais, ou físicos, causados por seus empregados diretamente ao Município de Rondonópolis/MT ou a terceiros, decorrentes de sua culpa ou dolo.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15.16. Prestar esclarecimentos a Administração Pública sobre eventuais atos ou fatos noticiados que a envolva, independente de solicitação.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15.17. Comunicar ao Fiscal do contrato, no prazo de 24 (vinte e quatro) horas, qualquer ocorrência anormal ou acidente que se verifique no local dos serviços.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15.18. Paralisar, por determinação da Contratante, qualquer atividade que não esteja sendo executada de acordo com a boa técnica ou que ponha em risco a segurança de pessoas ou bens de terceiros.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15.19. A empresa deverá manter no canteiro de obras cópia do contrato, CREA e ART do engenheiro responsável técnico, licenças ambientais e demais documentos referentes aos serviços.</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15.20. O descumprimento total ou parcial das obrigações e responsabilidades assumidas pela Contratada, sobretudo quanto às obrigações e encargos sociais e trabalhistas, ensejará a aplicação de sanções administrativas, previstas neste Projeto Básico e na legislação vigente, podendo culminar em extinção do contrato, conforme disposto nos art. 155 e 156 da </w:t>
      </w:r>
      <w:hyperlink r:id="rId30"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15.21. 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w:t>
      </w:r>
      <w:r>
        <w:rPr/>
        <w:t xml:space="preserve">Projeto Básico </w:t>
      </w:r>
      <w:r>
        <w:rPr>
          <w:rFonts w:ascii="Book Antiqua" w:hAnsi="Book Antiqua"/>
          <w:sz w:val="18"/>
          <w:szCs w:val="18"/>
        </w:rPr>
        <w:t xml:space="preserve"> e demais documentos anexos.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15.22. Responder por qualquer acidente de trabalho na execução dos serviços, por uso indevido de patentes registradas em nome de terceiros, por danos resultantes de defeitos ou incorreções dos serviços ou dos bens da Contratante, de seus funcionários ou de terceiros, ainda que ocorridos em via pública junto ao serviço de engenharia.</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15.23. Obter junto aos órgãos competentes, conforme o caso, as licenças necessárias e demais documentos e autorizações exigíveis, na forma da legislação aplicável.</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15.24. Adotar as providências e precauções necessárias, inclusive consulta nos respectivos órgãos, se necessário for, a fim de que não venham a ser danificadas as redes hidrossanitárias, elétricas e de comunicação.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15.25. Alocar profissionais altamente especializados para o desenvolvimento dos trabalhos. A qualquer tempo, a Fiscalização poderá solicitar a substituição de qualquer membro da equipe técnica da licitante vencedora, desde que entenda que seja benéfico ao desenvolvimento dos trabalhos.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15.26. Guardar sigilo sobre todas as informações obtidas em decorrência do cumprimento do contrato.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15.27. Não permitir a utilização de qualquer trabalho do menor de dezesseis anos, exceto na condição de aprendiz para os maiores de quatorze anos; nem permitir a utilização do trabalho do menor de dezoito anos em trabalho noturno, perigoso ou insalubre.</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15.28. Submeter previamente, por escrito, à Contratante, para análise e aprovação, quaisquer mudanças nos métodos executivos que fujam às especificações do memorial descritivo.</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15.29. 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w:t>
      </w:r>
      <w:hyperlink r:id="rId31" w:tgtFrame="_top">
        <w:r>
          <w:rPr>
            <w:rStyle w:val="LinkdaInternet"/>
            <w:rFonts w:ascii="Book Antiqua" w:hAnsi="Book Antiqua"/>
            <w:sz w:val="18"/>
            <w:szCs w:val="18"/>
          </w:rPr>
          <w:t>Lei nº 13.146, de 2015</w:t>
        </w:r>
      </w:hyperlink>
      <w:r>
        <w:rPr>
          <w:rFonts w:ascii="Book Antiqua" w:hAnsi="Book Antiqua"/>
          <w:sz w:val="18"/>
          <w:szCs w:val="18"/>
        </w:rPr>
        <w:t xml:space="preserve"> (art. 116 da </w:t>
      </w:r>
      <w:hyperlink r:id="rId32"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15.30.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w:t>
      </w:r>
      <w:hyperlink r:id="rId33"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15.31. Observar as diretrizes, critérios e procedimentos para a gestão dos resíduos da construção civil estabelecidos na </w:t>
      </w:r>
      <w:hyperlink r:id="rId34" w:tgtFrame="_top">
        <w:r>
          <w:rPr>
            <w:rStyle w:val="LinkdaInternet"/>
            <w:rFonts w:ascii="Book Antiqua" w:hAnsi="Book Antiqua"/>
            <w:sz w:val="18"/>
            <w:szCs w:val="18"/>
          </w:rPr>
          <w:t>Resolução nº 307, de 05 de julho de 2002</w:t>
        </w:r>
      </w:hyperlink>
      <w:r>
        <w:rPr>
          <w:rFonts w:ascii="Book Antiqua" w:hAnsi="Book Antiqua"/>
          <w:sz w:val="18"/>
          <w:szCs w:val="18"/>
        </w:rPr>
        <w:t xml:space="preserve">, com as alterações posteriores, do Conselho Nacional de Meio Ambiente – CONAMA, conforme art. 4°, §§ 2° e 3°, da </w:t>
      </w:r>
      <w:hyperlink r:id="rId35" w:tgtFrame="_top">
        <w:r>
          <w:rPr>
            <w:rStyle w:val="LinkdaInternet"/>
            <w:rFonts w:ascii="Book Antiqua" w:hAnsi="Book Antiqua"/>
            <w:sz w:val="18"/>
            <w:szCs w:val="18"/>
          </w:rPr>
          <w:t>Instrução Normativa SLTI/MP n° 1, de 19 de janeiro de 2010</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15.32. 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pPr>
        <w:pStyle w:val="NoSpacing"/>
        <w:spacing w:lineRule="auto" w:line="276"/>
        <w:jc w:val="both"/>
        <w:rPr>
          <w:lang w:val="pt-BR"/>
        </w:rPr>
      </w:pPr>
      <w:r>
        <w:rPr>
          <w:lang w:val="pt-BR"/>
        </w:rPr>
      </w:r>
    </w:p>
    <w:p>
      <w:pPr>
        <w:pStyle w:val="NoSpacing"/>
        <w:spacing w:lineRule="auto" w:line="276"/>
        <w:jc w:val="both"/>
        <w:rPr>
          <w:rFonts w:ascii="Book Antiqua" w:hAnsi="Book Antiqua" w:cs="Book Antiqua"/>
          <w:sz w:val="18"/>
          <w:szCs w:val="18"/>
          <w:lang w:val="pt-BR"/>
        </w:rPr>
      </w:pPr>
      <w:r>
        <w:rPr>
          <w:rFonts w:cs="Book Antiqua" w:ascii="Book Antiqua" w:hAnsi="Book Antiqua"/>
          <w:sz w:val="18"/>
          <w:szCs w:val="18"/>
          <w:lang w:val="pt-BR"/>
        </w:rPr>
        <w:t>15.33. Receber e dar o tratamento adequado a denúncias de discriminação, violência e assédio no ambiente de trabalho.</w:t>
      </w:r>
    </w:p>
    <w:p>
      <w:pPr>
        <w:pStyle w:val="NoSpacing"/>
        <w:spacing w:lineRule="auto" w:line="276"/>
        <w:jc w:val="both"/>
        <w:rPr>
          <w:rFonts w:ascii="Book Antiqua" w:hAnsi="Book Antiqua" w:cs="Book Antiqua"/>
          <w:sz w:val="18"/>
          <w:szCs w:val="18"/>
          <w:lang w:val="pt-BR"/>
        </w:rPr>
      </w:pPr>
      <w:r>
        <w:rPr>
          <w:rFonts w:cs="Book Antiqua" w:ascii="Book Antiqua" w:hAnsi="Book Antiqua"/>
          <w:sz w:val="18"/>
          <w:szCs w:val="18"/>
          <w:lang w:val="pt-BR"/>
        </w:rPr>
      </w:r>
    </w:p>
    <w:p>
      <w:pPr>
        <w:pStyle w:val="Standard"/>
        <w:jc w:val="both"/>
        <w:rPr>
          <w:rFonts w:ascii="Book Antiqua" w:hAnsi="Book Antiqua" w:cs="Book Antiqua"/>
          <w:b/>
          <w:b/>
          <w:sz w:val="18"/>
          <w:szCs w:val="18"/>
          <w:u w:val="single"/>
        </w:rPr>
      </w:pPr>
      <w:r>
        <w:rPr>
          <w:rFonts w:cs="Book Antiqua" w:ascii="Book Antiqua" w:hAnsi="Book Antiqua"/>
          <w:b/>
          <w:sz w:val="18"/>
          <w:szCs w:val="18"/>
          <w:u w:val="single"/>
        </w:rPr>
        <w:t>13.34 A Contratada deverá conceder livre acesso aos seus documentos e registros contábeis, referentes ao objeto da licitação, para os servidores da Prefeitura Municipal de Rondonópolis, e dos órgãos de controle interno e externo conforme Art. 82 §2 inciso II do Decreto Municipal nº 11.685 de 2023.</w:t>
      </w:r>
    </w:p>
    <w:p>
      <w:pPr>
        <w:pStyle w:val="Standard"/>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15.35 – A execução de todos os serviços será condicionada as demais condições relacionadas ao Estudo Técnico Preliminar – ETP, </w:t>
      </w:r>
      <w:r>
        <w:rPr/>
        <w:t xml:space="preserve">Projeto Básico </w:t>
      </w:r>
      <w:r>
        <w:rPr>
          <w:rFonts w:cs="Book Antiqua" w:ascii="Book Antiqua" w:hAnsi="Book Antiqua"/>
          <w:sz w:val="18"/>
          <w:szCs w:val="18"/>
        </w:rPr>
        <w:t>/Minuta de Contrato.</w:t>
      </w:r>
    </w:p>
    <w:p>
      <w:pPr>
        <w:pStyle w:val="Normal"/>
        <w:jc w:val="both"/>
        <w:rPr>
          <w:rFonts w:ascii="Book Antiqua" w:hAnsi="Book Antiqua" w:cs="Book Antiqua"/>
          <w:b/>
          <w:b/>
          <w:bCs/>
          <w:sz w:val="18"/>
          <w:szCs w:val="18"/>
        </w:rPr>
      </w:pPr>
      <w:r>
        <w:rPr>
          <w:rFonts w:cs="Book Antiqua" w:ascii="Book Antiqua" w:hAnsi="Book Antiqua"/>
          <w:b/>
          <w:bCs/>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bCs/>
          <w:sz w:val="18"/>
          <w:szCs w:val="18"/>
        </w:rPr>
      </w:pPr>
      <w:r>
        <w:rPr>
          <w:rFonts w:cs="Book Antiqua" w:ascii="Book Antiqua" w:hAnsi="Book Antiqua"/>
          <w:b/>
          <w:bCs/>
          <w:sz w:val="18"/>
          <w:szCs w:val="18"/>
        </w:rPr>
        <w:t>16. OBRIGAÇÕES DA CONTRATANTE</w:t>
      </w:r>
    </w:p>
    <w:p>
      <w:pPr>
        <w:pStyle w:val="Normal"/>
        <w:jc w:val="both"/>
        <w:rPr>
          <w:rFonts w:ascii="Book Antiqua" w:hAnsi="Book Antiqua" w:cs="Book Antiqua"/>
          <w:b/>
          <w:b/>
          <w:bCs/>
          <w:sz w:val="18"/>
          <w:szCs w:val="18"/>
        </w:rPr>
      </w:pPr>
      <w:r>
        <w:rPr>
          <w:rFonts w:cs="Book Antiqua" w:ascii="Book Antiqua" w:hAnsi="Book Antiqua"/>
          <w:b/>
          <w:bCs/>
          <w:sz w:val="18"/>
          <w:szCs w:val="18"/>
        </w:rPr>
      </w:r>
    </w:p>
    <w:p>
      <w:pPr>
        <w:pStyle w:val="Normal"/>
        <w:jc w:val="both"/>
        <w:rPr/>
      </w:pPr>
      <w:r>
        <w:rPr>
          <w:rFonts w:ascii="Book Antiqua" w:hAnsi="Book Antiqua"/>
          <w:sz w:val="18"/>
          <w:szCs w:val="18"/>
        </w:rPr>
        <w:t xml:space="preserve">16.1. A Administração Municipal deverá indicar pelo menos um representante legal para acompanhar e fiscalizar a execução das atividades inerentes aos objetos contratados, conforme dispõe o art. 117 da </w:t>
      </w:r>
      <w:hyperlink r:id="rId36" w:tgtFrame="_top">
        <w:r>
          <w:rPr>
            <w:rStyle w:val="LinkdaInternet"/>
            <w:rFonts w:ascii="Book Antiqua" w:hAnsi="Book Antiqua"/>
            <w:sz w:val="18"/>
            <w:szCs w:val="18"/>
          </w:rPr>
          <w:t>Lei nº 14.133, de 1º de abril de 2021</w:t>
        </w:r>
      </w:hyperlink>
      <w:r>
        <w:rPr>
          <w:rFonts w:ascii="Book Antiqua" w:hAnsi="Book Antiqua"/>
          <w:sz w:val="18"/>
          <w:szCs w:val="18"/>
        </w:rPr>
        <w:t>, assim como, fazer cumprir fielmente o que estabelece este Edital e todas as demais disposições legais para contratação e execução dos serviços e obras viárias.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16.2. A fiscalização deverá registrar as ocorrências e as deficiências verificadas, oficiando à licitante vencedora para a imediata correção das irregularidades apontadas.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16.3. Proporcionar todas as condições necessárias para que a Licitante vencedora possa cumprir o objeto desta licitação.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16.4. Fornecer a qualquer tempo e com o máximo de presteza, mediante solicitação escrita da Contratada, informações adicionais, dirimir dúvidas e orientá-la em casos omissos.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16.5. A existência e a atuação da fiscalização da Administração Municipal em nada restringe a responsabilidade técnica única, integral e exclusiva da Licitante vencedora, no que concerne à execução do objeto contratado.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16.6. Efetuar o pagamento mensal nas condições pactuadas.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16.7. Explicitamente emitir decisão sobre todas as solicitações e reclamações relacionadas à execução do Contrato, ressalvados os requerimentos manifestamente impertinentes, meramente protelatórios ou de nenhum interesse para a boa execução do ajuste.</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16.8. Explicitamente emitir decisão sobre todas as solicitações e reclamações relacionadas à execução do Contrato, ressalvados os requerimentos manifestamente impertinentes, meramente protelatórios ou de nenhum interesse para a boa execução do ajuste.</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16.9. Responder eventuais pedidos de reestabelecimento do equilíbrio econômico-financeiro feitos pela Contratada no prazo máximo de 90 dias.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16.10. Notificar os emitentes das garantias quanto ao início de processo administrativo para apuração de descumprimento de cláusulas contratuais.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16.11. A Secretaria Municipal de Infraestrutura não responderá por quaisquer compromissos assumidos pela Contratada com terceiros, ainda que vinculados à execução do contrato, bem como por qualquer dano causado a terceiros em decorrência de ato da Contratada, de seus empregados, prepostos ou subordinados.</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16.12. Outras obrigações definidas no Estudo Técnico Preliminar – ETP, </w:t>
      </w:r>
      <w:r>
        <w:rPr/>
        <w:t xml:space="preserve">Projeto Básico </w:t>
      </w:r>
      <w:r>
        <w:rPr>
          <w:rFonts w:ascii="Book Antiqua" w:hAnsi="Book Antiqua"/>
          <w:sz w:val="18"/>
          <w:szCs w:val="18"/>
        </w:rPr>
        <w:t xml:space="preserve"> e na minuta de contrato constante do Anexo X deste Edital.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17. DAS INFRAÇÕES E SANSÕES ADMINISTRATIVAS</w:t>
      </w:r>
    </w:p>
    <w:p>
      <w:pPr>
        <w:pStyle w:val="Normal"/>
        <w:ind w:right="-1" w:hanging="0"/>
        <w:jc w:val="both"/>
        <w:rPr>
          <w:rFonts w:ascii="Book Antiqua" w:hAnsi="Book Antiqua" w:cs="Century Gothic"/>
          <w:sz w:val="18"/>
          <w:szCs w:val="18"/>
        </w:rPr>
      </w:pPr>
      <w:r>
        <w:rPr>
          <w:rFonts w:cs="Century Gothic" w:ascii="Book Antiqua" w:hAnsi="Book Antiqua"/>
          <w:sz w:val="18"/>
          <w:szCs w:val="18"/>
        </w:rPr>
      </w:r>
    </w:p>
    <w:p>
      <w:pPr>
        <w:pStyle w:val="Normal"/>
        <w:jc w:val="both"/>
        <w:rPr/>
      </w:pPr>
      <w:r>
        <w:rPr>
          <w:rFonts w:ascii="Book Antiqua" w:hAnsi="Book Antiqua"/>
          <w:sz w:val="18"/>
          <w:szCs w:val="18"/>
        </w:rPr>
        <w:t xml:space="preserve">17.1. Descumpridas as obrigações e condições de licitação/contratações previstas neste Projeto Básico , e/ou, no Edital, e/ou no Contrato, serão aplicadas as penalidades conforme hipótese e gradação descritas nos artigos 155, 156 e ss. da </w:t>
      </w:r>
      <w:hyperlink r:id="rId37"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17.2. Comete infração administrativa, nos termos da </w:t>
      </w:r>
      <w:hyperlink r:id="rId38" w:tgtFrame="_top">
        <w:r>
          <w:rPr>
            <w:rStyle w:val="LinkdaInternet"/>
            <w:rFonts w:ascii="Book Antiqua" w:hAnsi="Book Antiqua"/>
            <w:sz w:val="18"/>
            <w:szCs w:val="18"/>
          </w:rPr>
          <w:t>Lei nº 14.133, de 1º de abril de 2021</w:t>
        </w:r>
      </w:hyperlink>
      <w:r>
        <w:rPr>
          <w:rFonts w:ascii="Book Antiqua" w:hAnsi="Book Antiqua"/>
          <w:sz w:val="18"/>
          <w:szCs w:val="18"/>
        </w:rPr>
        <w:t xml:space="preserve"> e do art. 201 do </w:t>
      </w:r>
      <w:hyperlink r:id="rId39" w:tgtFrame="_top">
        <w:r>
          <w:rPr>
            <w:rStyle w:val="LinkdaInternet"/>
            <w:rFonts w:ascii="Book Antiqua" w:hAnsi="Book Antiqua"/>
            <w:sz w:val="18"/>
            <w:szCs w:val="18"/>
          </w:rPr>
          <w:t>Decreto Municipal 11.685 de 18 de setembro de 2023</w:t>
        </w:r>
      </w:hyperlink>
      <w:r>
        <w:rPr>
          <w:rFonts w:ascii="Book Antiqua" w:hAnsi="Book Antiqua"/>
          <w:sz w:val="18"/>
          <w:szCs w:val="18"/>
        </w:rPr>
        <w:t>, a Licitante/Contratada que:</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a) der causa à inexecução parcial do contrato;</w:t>
      </w:r>
    </w:p>
    <w:p>
      <w:pPr>
        <w:pStyle w:val="Normal"/>
        <w:jc w:val="both"/>
        <w:rPr>
          <w:rFonts w:ascii="Book Antiqua" w:hAnsi="Book Antiqua"/>
          <w:sz w:val="18"/>
          <w:szCs w:val="18"/>
        </w:rPr>
      </w:pPr>
      <w:r>
        <w:rPr>
          <w:rFonts w:ascii="Book Antiqua" w:hAnsi="Book Antiqua"/>
          <w:sz w:val="18"/>
          <w:szCs w:val="18"/>
        </w:rPr>
        <w:t>b) der causa à inexecução parcial do contrato que cause grave dano à Administração ou ao funcionamento dos serviços públicos ou ao interesse coletivo;</w:t>
      </w:r>
    </w:p>
    <w:p>
      <w:pPr>
        <w:pStyle w:val="Normal"/>
        <w:jc w:val="both"/>
        <w:rPr>
          <w:rFonts w:ascii="Book Antiqua" w:hAnsi="Book Antiqua"/>
          <w:sz w:val="18"/>
          <w:szCs w:val="18"/>
        </w:rPr>
      </w:pPr>
      <w:r>
        <w:rPr>
          <w:rFonts w:ascii="Book Antiqua" w:hAnsi="Book Antiqua"/>
          <w:sz w:val="18"/>
          <w:szCs w:val="18"/>
        </w:rPr>
        <w:t>c) der causa à inexecução total do contrato;</w:t>
      </w:r>
    </w:p>
    <w:p>
      <w:pPr>
        <w:pStyle w:val="Normal"/>
        <w:jc w:val="both"/>
        <w:rPr>
          <w:rFonts w:ascii="Book Antiqua" w:hAnsi="Book Antiqua"/>
          <w:sz w:val="18"/>
          <w:szCs w:val="18"/>
        </w:rPr>
      </w:pPr>
      <w:r>
        <w:rPr>
          <w:rFonts w:ascii="Book Antiqua" w:hAnsi="Book Antiqua"/>
          <w:sz w:val="18"/>
          <w:szCs w:val="18"/>
        </w:rPr>
        <w:t>d) deixar de entregar a documentação exigida para o certame;</w:t>
      </w:r>
    </w:p>
    <w:p>
      <w:pPr>
        <w:pStyle w:val="Normal"/>
        <w:jc w:val="both"/>
        <w:rPr>
          <w:rFonts w:ascii="Book Antiqua" w:hAnsi="Book Antiqua"/>
          <w:sz w:val="18"/>
          <w:szCs w:val="18"/>
        </w:rPr>
      </w:pPr>
      <w:r>
        <w:rPr>
          <w:rFonts w:ascii="Book Antiqua" w:hAnsi="Book Antiqua"/>
          <w:sz w:val="18"/>
          <w:szCs w:val="18"/>
        </w:rPr>
        <w:t>e) não manter a proposta, salvo em decorrência de fato superveniente devidamente justificado;</w:t>
      </w:r>
    </w:p>
    <w:p>
      <w:pPr>
        <w:pStyle w:val="Normal"/>
        <w:jc w:val="both"/>
        <w:rPr>
          <w:rFonts w:ascii="Book Antiqua" w:hAnsi="Book Antiqua"/>
          <w:sz w:val="18"/>
          <w:szCs w:val="18"/>
        </w:rPr>
      </w:pPr>
      <w:r>
        <w:rPr>
          <w:rFonts w:ascii="Book Antiqua" w:hAnsi="Book Antiqua"/>
          <w:sz w:val="18"/>
          <w:szCs w:val="18"/>
        </w:rPr>
        <w:t>f) não celebrar o contrato ou não entregar a documentação exigida para a contratação, quando convocado dentro do prazo de validade de sua proposta;</w:t>
      </w:r>
    </w:p>
    <w:p>
      <w:pPr>
        <w:pStyle w:val="Normal"/>
        <w:jc w:val="both"/>
        <w:rPr>
          <w:rFonts w:ascii="Book Antiqua" w:hAnsi="Book Antiqua"/>
          <w:sz w:val="18"/>
          <w:szCs w:val="18"/>
        </w:rPr>
      </w:pPr>
      <w:r>
        <w:rPr>
          <w:rFonts w:ascii="Book Antiqua" w:hAnsi="Book Antiqua"/>
          <w:sz w:val="18"/>
          <w:szCs w:val="18"/>
        </w:rPr>
        <w:t>g) ensejar o retardamento da execução ou da entrega do objeto da contratação sem motivo justificado;</w:t>
      </w:r>
    </w:p>
    <w:p>
      <w:pPr>
        <w:pStyle w:val="Normal"/>
        <w:jc w:val="both"/>
        <w:rPr>
          <w:rFonts w:ascii="Book Antiqua" w:hAnsi="Book Antiqua"/>
          <w:sz w:val="18"/>
          <w:szCs w:val="18"/>
        </w:rPr>
      </w:pPr>
      <w:r>
        <w:rPr>
          <w:rFonts w:ascii="Book Antiqua" w:hAnsi="Book Antiqua"/>
          <w:sz w:val="18"/>
          <w:szCs w:val="18"/>
        </w:rPr>
        <w:t>h) apresentar declaração ou documentação falsa exigida para o certame ou prestar declaração falsa durante a licitação ou a execução do contrato;</w:t>
      </w:r>
    </w:p>
    <w:p>
      <w:pPr>
        <w:pStyle w:val="Normal"/>
        <w:jc w:val="both"/>
        <w:rPr>
          <w:rFonts w:ascii="Book Antiqua" w:hAnsi="Book Antiqua"/>
          <w:sz w:val="18"/>
          <w:szCs w:val="18"/>
        </w:rPr>
      </w:pPr>
      <w:r>
        <w:rPr>
          <w:rFonts w:ascii="Book Antiqua" w:hAnsi="Book Antiqua"/>
          <w:sz w:val="18"/>
          <w:szCs w:val="18"/>
        </w:rPr>
        <w:t>i) fraudar a licitação ou praticar ato fraudulento na execução do contrato;</w:t>
      </w:r>
    </w:p>
    <w:p>
      <w:pPr>
        <w:pStyle w:val="Normal"/>
        <w:jc w:val="both"/>
        <w:rPr>
          <w:rFonts w:ascii="Book Antiqua" w:hAnsi="Book Antiqua"/>
          <w:sz w:val="18"/>
          <w:szCs w:val="18"/>
        </w:rPr>
      </w:pPr>
      <w:r>
        <w:rPr>
          <w:rFonts w:ascii="Book Antiqua" w:hAnsi="Book Antiqua"/>
          <w:sz w:val="18"/>
          <w:szCs w:val="18"/>
        </w:rPr>
        <w:t>j) comportar-se de modo inidôneo ou cometer fraude de qualquer natureza;</w:t>
      </w:r>
    </w:p>
    <w:p>
      <w:pPr>
        <w:pStyle w:val="Normal"/>
        <w:jc w:val="both"/>
        <w:rPr>
          <w:rFonts w:ascii="Book Antiqua" w:hAnsi="Book Antiqua"/>
          <w:sz w:val="18"/>
          <w:szCs w:val="18"/>
        </w:rPr>
      </w:pPr>
      <w:r>
        <w:rPr>
          <w:rFonts w:ascii="Book Antiqua" w:hAnsi="Book Antiqua"/>
          <w:sz w:val="18"/>
          <w:szCs w:val="18"/>
        </w:rPr>
        <w:t>k) praticar atos ilícitos com vistas a frustrar os objetivos da licitação;</w:t>
      </w:r>
    </w:p>
    <w:p>
      <w:pPr>
        <w:pStyle w:val="Normal"/>
        <w:jc w:val="both"/>
        <w:rPr/>
      </w:pPr>
      <w:r>
        <w:rPr>
          <w:rFonts w:ascii="Book Antiqua" w:hAnsi="Book Antiqua"/>
          <w:sz w:val="18"/>
          <w:szCs w:val="18"/>
        </w:rPr>
        <w:t xml:space="preserve">l) praticar ato lesivo previsto no art. 5º da </w:t>
      </w:r>
      <w:hyperlink r:id="rId40" w:tgtFrame="_top">
        <w:r>
          <w:rPr>
            <w:rStyle w:val="LinkdaInternet"/>
            <w:rFonts w:ascii="Book Antiqua" w:hAnsi="Book Antiqua"/>
            <w:sz w:val="18"/>
            <w:szCs w:val="18"/>
          </w:rPr>
          <w:t>Lei nº 12.846, de 1º de agosto de 2013</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17.3. Serão aplicadas à Licitante/Contratada que incorrer nas infrações acima descritas as seguintes sanções:</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I - </w:t>
      </w:r>
      <w:r>
        <w:rPr>
          <w:rFonts w:ascii="Book Antiqua" w:hAnsi="Book Antiqua"/>
          <w:b/>
          <w:bCs/>
          <w:sz w:val="18"/>
          <w:szCs w:val="18"/>
        </w:rPr>
        <w:t>Advertência</w:t>
      </w:r>
      <w:r>
        <w:rPr>
          <w:rFonts w:ascii="Book Antiqua" w:hAnsi="Book Antiqua"/>
          <w:sz w:val="18"/>
          <w:szCs w:val="18"/>
        </w:rPr>
        <w:t xml:space="preserve">, quando a Contratada der causa à inexecução parcial do contrato, sempre que não se justificar a imposição de penalidade mais grave (art. 156, §2º, da </w:t>
      </w:r>
      <w:hyperlink r:id="rId41" w:tgtFrame="_top">
        <w:r>
          <w:rPr>
            <w:rStyle w:val="LinkdaInternet"/>
            <w:rFonts w:ascii="Book Antiqua" w:hAnsi="Book Antiqua"/>
            <w:sz w:val="18"/>
            <w:szCs w:val="18"/>
          </w:rPr>
          <w:t>Lei nº 14.133, de 1º de abril de 2021</w:t>
        </w:r>
      </w:hyperlink>
      <w:r>
        <w:rPr>
          <w:rFonts w:ascii="Book Antiqua" w:hAnsi="Book Antiqua"/>
          <w:sz w:val="18"/>
          <w:szCs w:val="18"/>
        </w:rPr>
        <w:t xml:space="preserve"> e art. 202 do </w:t>
      </w:r>
      <w:hyperlink r:id="rId42" w:tgtFrame="_top">
        <w:r>
          <w:rPr>
            <w:rStyle w:val="LinkdaInternet"/>
            <w:rFonts w:ascii="Book Antiqua" w:hAnsi="Book Antiqua"/>
            <w:sz w:val="18"/>
            <w:szCs w:val="18"/>
          </w:rPr>
          <w:t>Decreto Municipal 11.685 de 18 de setembro de 2023</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II - </w:t>
      </w:r>
      <w:r>
        <w:rPr>
          <w:rFonts w:ascii="Book Antiqua" w:hAnsi="Book Antiqua"/>
          <w:b/>
          <w:bCs/>
          <w:sz w:val="18"/>
          <w:szCs w:val="18"/>
        </w:rPr>
        <w:t>Impedimento de licitar e contratar</w:t>
      </w:r>
      <w:r>
        <w:rPr>
          <w:rFonts w:ascii="Book Antiqua" w:hAnsi="Book Antiqua"/>
          <w:sz w:val="18"/>
          <w:szCs w:val="18"/>
        </w:rPr>
        <w:t xml:space="preserve">, quando praticadas as condutas descritas nas alíneas “b”, “c”, “d”, “e”, “f” e “g” do subitem acima, sempre que não se justificar a imposição de penalidade mais grave e impedirá o responsável de licitar ou contratar no âmbito da Administração Pública direta e indireta do ente federativo que tiver aplicado a sanção, pelo prazo máximo de 3 (três) anos. (art. 156, § 4º, da </w:t>
      </w:r>
      <w:hyperlink r:id="rId43" w:tgtFrame="_top">
        <w:r>
          <w:rPr>
            <w:rStyle w:val="LinkdaInternet"/>
            <w:rFonts w:ascii="Book Antiqua" w:hAnsi="Book Antiqua"/>
            <w:sz w:val="18"/>
            <w:szCs w:val="18"/>
          </w:rPr>
          <w:t>Lei nº 14.133, de 1º de abril de 2021</w:t>
        </w:r>
      </w:hyperlink>
      <w:r>
        <w:rPr>
          <w:rFonts w:ascii="Book Antiqua" w:hAnsi="Book Antiqua"/>
          <w:sz w:val="18"/>
          <w:szCs w:val="18"/>
        </w:rPr>
        <w:t xml:space="preserve"> e art. 203 do </w:t>
      </w:r>
      <w:hyperlink r:id="rId44" w:tgtFrame="_top">
        <w:r>
          <w:rPr>
            <w:rStyle w:val="LinkdaInternet"/>
            <w:rFonts w:ascii="Book Antiqua" w:hAnsi="Book Antiqua"/>
            <w:sz w:val="18"/>
            <w:szCs w:val="18"/>
          </w:rPr>
          <w:t>Decreto Municipal 11.685 de 18 de setembro de 2023</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III - </w:t>
      </w:r>
      <w:r>
        <w:rPr>
          <w:rFonts w:ascii="Book Antiqua" w:hAnsi="Book Antiqua"/>
          <w:b/>
          <w:bCs/>
          <w:sz w:val="18"/>
          <w:szCs w:val="18"/>
        </w:rPr>
        <w:t>Declaração de inidoneidade para licitar e contratar</w:t>
      </w:r>
      <w:r>
        <w:rPr>
          <w:rFonts w:ascii="Book Antiqua" w:hAnsi="Book Antiqua"/>
          <w:sz w:val="18"/>
          <w:szCs w:val="18"/>
        </w:rPr>
        <w:t xml:space="preserve">, quando praticadas as condutas descritas nas alíneas “h”, “i”, “j” “k” e “l” do subitem acima, bem como nas alíneas “b”, “c”, “d”, “e”, “f” e “g”, que justifiquem a imposição de penalidade mais grave que o impedimento de licitar e contratar e impedirá o responsável de licitar ou contratar no âmbito da Administração Pública direta e indireta de todos os entes federativos, pelo prazo mínimo de 3 (três) anos e máximo de 6 (seis) anos (art. 156, §5º, da </w:t>
      </w:r>
      <w:hyperlink r:id="rId45" w:tgtFrame="_top">
        <w:r>
          <w:rPr>
            <w:rStyle w:val="LinkdaInternet"/>
            <w:rFonts w:ascii="Book Antiqua" w:hAnsi="Book Antiqua"/>
            <w:sz w:val="18"/>
            <w:szCs w:val="18"/>
          </w:rPr>
          <w:t>Lei nº 14.133, de 1º de abril de 2021</w:t>
        </w:r>
      </w:hyperlink>
      <w:r>
        <w:rPr>
          <w:rFonts w:ascii="Book Antiqua" w:hAnsi="Book Antiqua"/>
          <w:sz w:val="18"/>
          <w:szCs w:val="18"/>
        </w:rPr>
        <w:t xml:space="preserve"> e art. 204 do </w:t>
      </w:r>
      <w:hyperlink r:id="rId46" w:tgtFrame="_top">
        <w:r>
          <w:rPr>
            <w:rStyle w:val="LinkdaInternet"/>
            <w:rFonts w:ascii="Book Antiqua" w:hAnsi="Book Antiqua"/>
            <w:sz w:val="18"/>
            <w:szCs w:val="18"/>
          </w:rPr>
          <w:t>Decreto Municipal 11.685 de 18 de setembro de 2023</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IV – </w:t>
      </w:r>
      <w:r>
        <w:rPr>
          <w:rFonts w:ascii="Book Antiqua" w:hAnsi="Book Antiqua"/>
          <w:b/>
          <w:bCs/>
          <w:sz w:val="18"/>
          <w:szCs w:val="18"/>
        </w:rPr>
        <w:t>Multa:</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I. moratória de 0,5% (cinco décimos por cento) por dia de atraso injustificado sobre o valor da parcela inadimplida, até o limite de 10 (dez) dias, conforme dispõe art. 206 do </w:t>
      </w:r>
      <w:hyperlink r:id="rId47" w:tgtFrame="_top">
        <w:r>
          <w:rPr>
            <w:rStyle w:val="LinkdaInternet"/>
            <w:rFonts w:ascii="Book Antiqua" w:hAnsi="Book Antiqua"/>
            <w:sz w:val="18"/>
            <w:szCs w:val="18"/>
          </w:rPr>
          <w:t>Decreto Municipal 11.685 de 18 de setembro de 2023</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II. O atraso superior a 90 (noventa) dias autoriza a Administração a promover a extinção do contrato por descumprimento ou cumprimento irregular de suas cláusulas, conforme dispõe o inciso I do art. 137 da </w:t>
      </w:r>
      <w:hyperlink r:id="rId48"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III. compensatória de 5% (cinco por cento) sobre o valor total do contrato, no caso de inexecução total do objeto.</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17.4. A aplicação das sanções previstas neste Projeto Básico não exclui, em hipótese alguma, a obrigação de reparação integral do dano causado à Administração Pública (art. 156, §9º, da </w:t>
      </w:r>
      <w:hyperlink r:id="rId49"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17.5. Todas as sanções previstas neste Projeto Básico  poderão ser aplicadas cumulativamente com a multa (art. 156, §7º, da </w:t>
      </w:r>
      <w:hyperlink r:id="rId50"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17.6. Antes da aplicação da multa será facultada a defesa do interessado no prazo de 15 (quinze) dias úteis, contados da data de sua intimação (art. 157, da </w:t>
      </w:r>
      <w:hyperlink r:id="rId51"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17.7. Se a multa aplicada e as indenizações cabíveis forem superiores ao valor do pagamento eventualmente devido pela Administração Pública à Contratada, além da perda desse valor, a diferença será descontada da garantia prestada ou será cobrada judicialmente (art. 156, §8º, da </w:t>
      </w:r>
      <w:hyperlink r:id="rId52"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17.8. A aplicação das sanções realizar-se-á em processo administrativo que assegure o contraditório e a ampla defesa à Contratada, observando-se o procedimento previsto no caput e parágrafos do art. 158 da </w:t>
      </w:r>
      <w:hyperlink r:id="rId53" w:tgtFrame="_top">
        <w:r>
          <w:rPr>
            <w:rStyle w:val="LinkdaInternet"/>
            <w:rFonts w:ascii="Book Antiqua" w:hAnsi="Book Antiqua"/>
            <w:sz w:val="18"/>
            <w:szCs w:val="18"/>
          </w:rPr>
          <w:t>Lei nº 14.133, de 1º de abril de 2021</w:t>
        </w:r>
      </w:hyperlink>
      <w:r>
        <w:rPr>
          <w:rFonts w:ascii="Book Antiqua" w:hAnsi="Book Antiqua"/>
          <w:sz w:val="18"/>
          <w:szCs w:val="18"/>
        </w:rPr>
        <w:t xml:space="preserve"> e art. 207 do </w:t>
      </w:r>
      <w:hyperlink r:id="rId54" w:tgtFrame="_top">
        <w:r>
          <w:rPr>
            <w:rStyle w:val="LinkdaInternet"/>
            <w:rFonts w:ascii="Book Antiqua" w:hAnsi="Book Antiqua"/>
            <w:sz w:val="18"/>
            <w:szCs w:val="18"/>
          </w:rPr>
          <w:t>Decreto Municipal 11.685 de 18 de setembro de 2023</w:t>
        </w:r>
      </w:hyperlink>
      <w:r>
        <w:rPr>
          <w:rFonts w:ascii="Book Antiqua" w:hAnsi="Book Antiqua"/>
          <w:sz w:val="18"/>
          <w:szCs w:val="18"/>
        </w:rPr>
        <w:t>, para as penalidades de impedimento de licitar e contratar e de declaração de inidoneidade para licitar ou contatar.</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17.9. Na aplicação das sanções serão considerados o art. 156, §1º, da </w:t>
      </w:r>
      <w:hyperlink r:id="rId55" w:tgtFrame="_top">
        <w:r>
          <w:rPr>
            <w:rStyle w:val="LinkdaInternet"/>
            <w:rFonts w:ascii="Book Antiqua" w:hAnsi="Book Antiqua"/>
            <w:sz w:val="18"/>
            <w:szCs w:val="18"/>
          </w:rPr>
          <w:t>Lei nº 14.133, de 1º de abril de 2021</w:t>
        </w:r>
      </w:hyperlink>
      <w:r>
        <w:rPr>
          <w:rFonts w:ascii="Book Antiqua" w:hAnsi="Book Antiqua"/>
          <w:sz w:val="18"/>
          <w:szCs w:val="18"/>
        </w:rPr>
        <w:t xml:space="preserve"> e art. 208 do </w:t>
      </w:r>
      <w:hyperlink r:id="rId56" w:tgtFrame="_top">
        <w:r>
          <w:rPr>
            <w:rStyle w:val="LinkdaInternet"/>
            <w:rFonts w:ascii="Book Antiqua" w:hAnsi="Book Antiqua"/>
            <w:sz w:val="18"/>
            <w:szCs w:val="18"/>
          </w:rPr>
          <w:t>Decreto Municipal 11.685 de 18 de setembro de 2023</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17.10. As sanções de impedimento de licitar e contratar e declaração de inidoneidade para licitar ou contratar são passíveis de reabilitação na forma do art. 163 dá </w:t>
      </w:r>
      <w:hyperlink r:id="rId57" w:tgtFrame="_top">
        <w:r>
          <w:rPr>
            <w:rStyle w:val="LinkdaInternet"/>
            <w:rFonts w:ascii="Book Antiqua" w:hAnsi="Book Antiqua"/>
            <w:sz w:val="18"/>
            <w:szCs w:val="18"/>
          </w:rPr>
          <w:t>Lei nº 14.133, de 1º de abril de 2021</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17.11. Os débitos da Contratada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a Contratada possua com o mesmo órgão ora contratante, na forma da </w:t>
      </w:r>
      <w:hyperlink r:id="rId58" w:tgtFrame="_top">
        <w:r>
          <w:rPr>
            <w:rStyle w:val="LinkdaInternet"/>
            <w:rFonts w:ascii="Book Antiqua" w:hAnsi="Book Antiqua"/>
            <w:sz w:val="18"/>
            <w:szCs w:val="18"/>
          </w:rPr>
          <w:t>Instrução Normativa SEGES/ME nº 26, de 13 de abril de 2022</w:t>
        </w:r>
      </w:hyperlink>
      <w:r>
        <w:rPr>
          <w:rFonts w:ascii="Book Antiqua" w:hAnsi="Book Antiqua"/>
          <w:sz w:val="18"/>
          <w:szCs w:val="18"/>
        </w:rPr>
        <w:t>.</w:t>
      </w:r>
    </w:p>
    <w:p>
      <w:pPr>
        <w:pStyle w:val="Normal"/>
        <w:jc w:val="both"/>
        <w:rPr/>
      </w:pPr>
      <w:r>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pPr>
      <w:r>
        <w:rPr>
          <w:rFonts w:cs="Book Antiqua" w:ascii="Book Antiqua" w:hAnsi="Book Antiqua"/>
          <w:b/>
          <w:sz w:val="18"/>
          <w:szCs w:val="18"/>
        </w:rPr>
        <w:t>18 DA DOTAÇÃO ORÇAMENTÁRIA</w:t>
      </w:r>
    </w:p>
    <w:p>
      <w:pPr>
        <w:pStyle w:val="Normal"/>
        <w:rPr/>
      </w:pPr>
      <w:r>
        <w:rPr/>
      </w:r>
    </w:p>
    <w:p>
      <w:pPr>
        <w:pStyle w:val="Normal"/>
        <w:rPr/>
      </w:pPr>
      <w:r>
        <w:rPr>
          <w:rFonts w:ascii="Book Antiqua" w:hAnsi="Book Antiqua"/>
          <w:sz w:val="18"/>
          <w:szCs w:val="18"/>
        </w:rPr>
        <w:t xml:space="preserve">18.1 </w:t>
      </w:r>
      <w:r>
        <w:rPr>
          <w:rFonts w:cs="Book Antiqua" w:ascii="Book Antiqua" w:hAnsi="Book Antiqua"/>
        </w:rPr>
        <w:t>As despesas de contratação das obras e serviços, objeto(s) desta licitação, correrão por conta das seguintes dotações orçamentárias indicadas pela Secretaria Municipal de Fazenda:</w:t>
      </w:r>
    </w:p>
    <w:p>
      <w:pPr>
        <w:pStyle w:val="Normal"/>
        <w:rPr>
          <w:rFonts w:ascii="Book Antiqua" w:hAnsi="Book Antiqua"/>
          <w:sz w:val="18"/>
          <w:szCs w:val="18"/>
        </w:rPr>
      </w:pPr>
      <w:r>
        <w:rPr>
          <w:rFonts w:ascii="Book Antiqua" w:hAnsi="Book Antiqua"/>
          <w:sz w:val="18"/>
          <w:szCs w:val="18"/>
        </w:rPr>
        <w:t xml:space="preserve"> </w:t>
      </w:r>
    </w:p>
    <w:tbl>
      <w:tblPr>
        <w:tblW w:w="980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50"/>
        <w:gridCol w:w="7254"/>
      </w:tblGrid>
      <w:tr>
        <w:trPr>
          <w:trHeight w:val="446" w:hRule="atLeast"/>
        </w:trPr>
        <w:tc>
          <w:tcPr>
            <w:tcW w:w="255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ÓRGÃO</w:t>
            </w:r>
          </w:p>
        </w:tc>
        <w:tc>
          <w:tcPr>
            <w:tcW w:w="725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02 – PREFEITURA MUNICIPAL DE RONDONÓPOLIS</w:t>
            </w:r>
          </w:p>
        </w:tc>
      </w:tr>
      <w:tr>
        <w:trPr>
          <w:trHeight w:val="446" w:hRule="atLeast"/>
        </w:trPr>
        <w:tc>
          <w:tcPr>
            <w:tcW w:w="255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UNIDADE</w:t>
            </w:r>
          </w:p>
        </w:tc>
        <w:tc>
          <w:tcPr>
            <w:tcW w:w="725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 xml:space="preserve">016 – Secretaria Municipal de Esporte e Lazer </w:t>
            </w:r>
          </w:p>
        </w:tc>
      </w:tr>
      <w:tr>
        <w:trPr>
          <w:trHeight w:val="446" w:hRule="atLeast"/>
        </w:trPr>
        <w:tc>
          <w:tcPr>
            <w:tcW w:w="255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 xml:space="preserve">FUNÇÃO PROGRAMÁTICA </w:t>
            </w:r>
          </w:p>
        </w:tc>
        <w:tc>
          <w:tcPr>
            <w:tcW w:w="725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color w:val="auto"/>
                <w:sz w:val="18"/>
                <w:szCs w:val="18"/>
                <w:shd w:fill="FFFFFF" w:val="clear"/>
              </w:rPr>
            </w:pPr>
            <w:r>
              <w:rPr>
                <w:rFonts w:ascii="Book Antiqua" w:hAnsi="Book Antiqua"/>
                <w:sz w:val="18"/>
                <w:szCs w:val="18"/>
                <w:shd w:fill="FFFFFF" w:val="clear"/>
              </w:rPr>
              <w:t xml:space="preserve">27.813.2211.1068 – Revitalização, Construção e Reformas de Espaços de Esporte e Lazer </w:t>
            </w:r>
          </w:p>
        </w:tc>
      </w:tr>
      <w:tr>
        <w:trPr>
          <w:trHeight w:val="446" w:hRule="atLeast"/>
        </w:trPr>
        <w:tc>
          <w:tcPr>
            <w:tcW w:w="2550" w:type="dxa"/>
            <w:tcBorders>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DESPESA</w:t>
            </w:r>
          </w:p>
        </w:tc>
        <w:tc>
          <w:tcPr>
            <w:tcW w:w="7254" w:type="dxa"/>
            <w:tcBorders>
              <w:left w:val="double" w:sz="4" w:space="0" w:color="000000"/>
              <w:bottom w:val="double" w:sz="4" w:space="0" w:color="000000"/>
              <w:right w:val="double" w:sz="4" w:space="0" w:color="000000"/>
            </w:tcBorders>
            <w:vAlign w:val="center"/>
          </w:tcPr>
          <w:p>
            <w:pPr>
              <w:pStyle w:val="Normal"/>
              <w:widowControl w:val="false"/>
              <w:rPr>
                <w:rFonts w:ascii="Book Antiqua" w:hAnsi="Book Antiqua"/>
                <w:color w:val="auto"/>
                <w:sz w:val="18"/>
                <w:szCs w:val="18"/>
                <w:shd w:fill="FFFFFF" w:val="clear"/>
              </w:rPr>
            </w:pPr>
            <w:r>
              <w:rPr>
                <w:rFonts w:ascii="Book Antiqua" w:hAnsi="Book Antiqua"/>
                <w:sz w:val="18"/>
                <w:szCs w:val="18"/>
                <w:shd w:fill="FFFFFF" w:val="clear"/>
              </w:rPr>
              <w:t xml:space="preserve">4.4.90.51-Obras e Instalações </w:t>
            </w:r>
          </w:p>
        </w:tc>
      </w:tr>
      <w:tr>
        <w:trPr>
          <w:trHeight w:val="446" w:hRule="atLeast"/>
        </w:trPr>
        <w:tc>
          <w:tcPr>
            <w:tcW w:w="255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REDUZIDO</w:t>
            </w:r>
          </w:p>
        </w:tc>
        <w:tc>
          <w:tcPr>
            <w:tcW w:w="725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shd w:fill="FFFFFF" w:val="clear"/>
              </w:rPr>
            </w:pPr>
            <w:r>
              <w:rPr>
                <w:rFonts w:ascii="Book Antiqua" w:hAnsi="Book Antiqua"/>
                <w:sz w:val="18"/>
                <w:szCs w:val="18"/>
                <w:shd w:fill="FFFFFF" w:val="clear"/>
              </w:rPr>
              <w:t>278</w:t>
            </w:r>
          </w:p>
        </w:tc>
      </w:tr>
      <w:tr>
        <w:trPr>
          <w:trHeight w:val="446" w:hRule="atLeast"/>
        </w:trPr>
        <w:tc>
          <w:tcPr>
            <w:tcW w:w="2550"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FONTE DO RECURSO</w:t>
            </w:r>
          </w:p>
        </w:tc>
        <w:tc>
          <w:tcPr>
            <w:tcW w:w="725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 xml:space="preserve">R$1.754.0000000 </w:t>
            </w:r>
          </w:p>
        </w:tc>
      </w:tr>
      <w:tr>
        <w:trPr>
          <w:trHeight w:val="446" w:hRule="atLeast"/>
        </w:trPr>
        <w:tc>
          <w:tcPr>
            <w:tcW w:w="2550" w:type="dxa"/>
            <w:tcBorders>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 xml:space="preserve">PREVISÃO DA DESPESA </w:t>
            </w:r>
          </w:p>
        </w:tc>
        <w:tc>
          <w:tcPr>
            <w:tcW w:w="7254" w:type="dxa"/>
            <w:tcBorders>
              <w:left w:val="double" w:sz="4" w:space="0" w:color="000000"/>
              <w:bottom w:val="double" w:sz="4" w:space="0" w:color="000000"/>
              <w:right w:val="double" w:sz="4" w:space="0" w:color="000000"/>
            </w:tcBorders>
            <w:vAlign w:val="center"/>
          </w:tcPr>
          <w:p>
            <w:pPr>
              <w:pStyle w:val="Normal"/>
              <w:widowControl w:val="false"/>
              <w:rPr>
                <w:rFonts w:ascii="Book Antiqua" w:hAnsi="Book Antiqua"/>
                <w:sz w:val="18"/>
                <w:szCs w:val="18"/>
              </w:rPr>
            </w:pPr>
            <w:r>
              <w:rPr>
                <w:rFonts w:ascii="Book Antiqua" w:hAnsi="Book Antiqua"/>
                <w:sz w:val="18"/>
                <w:szCs w:val="18"/>
              </w:rPr>
              <w:t>R$ 4.349.538,61</w:t>
            </w:r>
          </w:p>
        </w:tc>
      </w:tr>
    </w:tbl>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18.2 A dotação relativa aos exercícios financeiros subsequentes será indicada após aprovação da Lei Orçamentária respectiva e liberação dos créditos correspondentes, mediante apostilamento.</w:t>
      </w:r>
    </w:p>
    <w:p>
      <w:pPr>
        <w:pStyle w:val="Corpodetexto22"/>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19. DA HOMOLOGAÇÃO/ADJUDICAÇÃO</w:t>
      </w:r>
    </w:p>
    <w:p>
      <w:pPr>
        <w:pStyle w:val="Corpodetexto22"/>
        <w:rPr>
          <w:rFonts w:ascii="Book Antiqua" w:hAnsi="Book Antiqua" w:cs="Book Antiqua"/>
          <w:b/>
          <w:b/>
          <w:sz w:val="18"/>
          <w:szCs w:val="18"/>
        </w:rPr>
      </w:pPr>
      <w:r>
        <w:rPr>
          <w:rFonts w:cs="Book Antiqua" w:ascii="Book Antiqua" w:hAnsi="Book Antiqua"/>
          <w:b/>
          <w:sz w:val="18"/>
          <w:szCs w:val="18"/>
        </w:rPr>
      </w:r>
    </w:p>
    <w:p>
      <w:pPr>
        <w:pStyle w:val="Corpodetexto22"/>
        <w:rPr>
          <w:rFonts w:ascii="Book Antiqua" w:hAnsi="Book Antiqua" w:cs="Book Antiqua"/>
          <w:sz w:val="18"/>
          <w:szCs w:val="18"/>
        </w:rPr>
      </w:pPr>
      <w:r>
        <w:rPr>
          <w:rFonts w:cs="Book Antiqua" w:ascii="Book Antiqua" w:hAnsi="Book Antiqua"/>
          <w:sz w:val="18"/>
          <w:szCs w:val="18"/>
        </w:rPr>
        <w:t>19.1 – Após a divulgação do resultado de julgamento da habilitação e decorrido o prazo recursal previsto em lei, a presente licitação será adjudicada à empresa vencedora do certame, após homologação pela autoridade competente.</w:t>
      </w:r>
    </w:p>
    <w:p>
      <w:pPr>
        <w:pStyle w:val="Corpodetexto22"/>
        <w:rPr>
          <w:rFonts w:ascii="Book Antiqua" w:hAnsi="Book Antiqua" w:cs="Book Antiqua"/>
          <w:b/>
          <w:b/>
          <w:sz w:val="18"/>
          <w:szCs w:val="18"/>
          <w:shd w:fill="FFFFFF" w:val="clear"/>
        </w:rPr>
      </w:pPr>
      <w:r>
        <w:rPr>
          <w:rFonts w:cs="Book Antiqua" w:ascii="Book Antiqua" w:hAnsi="Book Antiqua"/>
          <w:b/>
          <w:sz w:val="18"/>
          <w:szCs w:val="18"/>
          <w:shd w:fill="FFFFFF" w:val="clear"/>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sz w:val="18"/>
          <w:szCs w:val="18"/>
          <w:shd w:fill="FFFFFF" w:val="clear"/>
        </w:rPr>
      </w:pPr>
      <w:r>
        <w:rPr>
          <w:rFonts w:cs="Book Antiqua" w:ascii="Book Antiqua" w:hAnsi="Book Antiqua"/>
          <w:sz w:val="18"/>
          <w:szCs w:val="18"/>
          <w:shd w:fill="FFFFFF" w:val="clear"/>
        </w:rPr>
      </w:r>
    </w:p>
    <w:p>
      <w:pPr>
        <w:pStyle w:val="Corpodetexto22"/>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20. DA EXECUÇÃO DOS SERVIÇOS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20.1 Os serviços, objeto do presente Edital, deverão ser executados de acordo com as especificações e condições estabelecidas no Estudo Técnico Preliminar – ETP e </w:t>
      </w:r>
      <w:r>
        <w:rPr/>
        <w:t xml:space="preserve">Projeto Básico </w:t>
      </w:r>
      <w:r>
        <w:rPr>
          <w:rFonts w:cs="Book Antiqua" w:ascii="Book Antiqua" w:hAnsi="Book Antiqua"/>
          <w:sz w:val="18"/>
          <w:szCs w:val="18"/>
        </w:rPr>
        <w:t>citado no item 1.1 deste edital.</w:t>
      </w:r>
    </w:p>
    <w:p>
      <w:pPr>
        <w:pStyle w:val="Normal"/>
        <w:jc w:val="both"/>
        <w:rPr>
          <w:rFonts w:ascii="Book Antiqua" w:hAnsi="Book Antiqua" w:cs="Book Antiqua"/>
          <w:sz w:val="18"/>
          <w:szCs w:val="18"/>
        </w:rPr>
      </w:pPr>
      <w:r>
        <w:rPr>
          <w:rFonts w:cs="Book Antiqua" w:ascii="Book Antiqua" w:hAnsi="Book Antiqua"/>
          <w:sz w:val="18"/>
          <w:szCs w:val="18"/>
        </w:rPr>
      </w:r>
    </w:p>
    <w:p>
      <w:pPr>
        <w:pStyle w:val="Corpodetexto22"/>
        <w:pBdr>
          <w:top w:val="single" w:sz="4" w:space="1" w:color="000000"/>
          <w:left w:val="single" w:sz="4" w:space="4" w:color="000000"/>
          <w:bottom w:val="single" w:sz="4" w:space="1" w:color="000000"/>
          <w:right w:val="single" w:sz="4" w:space="4" w:color="000000"/>
        </w:pBdr>
        <w:shd w:val="clear" w:color="auto" w:fill="E0E0E0"/>
        <w:jc w:val="center"/>
        <w:rPr/>
      </w:pPr>
      <w:r>
        <w:rPr>
          <w:rFonts w:cs="Book Antiqua" w:ascii="Book Antiqua" w:hAnsi="Book Antiqua"/>
          <w:b/>
          <w:sz w:val="18"/>
          <w:szCs w:val="18"/>
        </w:rPr>
        <w:t>21. DOS REAJUSTES E SUPRESSÕES</w:t>
      </w:r>
    </w:p>
    <w:p>
      <w:pPr>
        <w:pStyle w:val="Normal"/>
        <w:spacing w:before="0" w:after="120"/>
        <w:jc w:val="both"/>
        <w:rPr>
          <w:rFonts w:ascii="Book Antiqua" w:hAnsi="Book Antiqua" w:cs="Book Antiqua"/>
          <w:sz w:val="18"/>
          <w:szCs w:val="18"/>
        </w:rPr>
      </w:pPr>
      <w:r>
        <w:rPr>
          <w:rFonts w:cs="Book Antiqua" w:ascii="Book Antiqua" w:hAnsi="Book Antiqua"/>
          <w:sz w:val="18"/>
          <w:szCs w:val="18"/>
        </w:rPr>
      </w:r>
    </w:p>
    <w:p>
      <w:pPr>
        <w:pStyle w:val="Normal"/>
        <w:spacing w:before="0" w:after="120"/>
        <w:jc w:val="both"/>
        <w:rPr>
          <w:rFonts w:ascii="Book Antiqua" w:hAnsi="Book Antiqua" w:cs="Book Antiqua"/>
          <w:sz w:val="18"/>
          <w:szCs w:val="18"/>
        </w:rPr>
      </w:pPr>
      <w:r>
        <w:rPr>
          <w:rFonts w:cs="Book Antiqua" w:ascii="Book Antiqua" w:hAnsi="Book Antiqua"/>
          <w:sz w:val="18"/>
          <w:szCs w:val="18"/>
        </w:rPr>
        <w:t>21.1</w:t>
        <w:tab/>
        <w:t>Nos termos do art. 125, da Lei n° 14.133, de 2021, a Contratada ficará obrigada a aceitar, nas mesmas condições contratuais, os reajustes ou supressões que se fizerem necessários, até o limite legal do valor inicial atualizado do contrato.</w:t>
      </w:r>
    </w:p>
    <w:p>
      <w:pPr>
        <w:pStyle w:val="Normal"/>
        <w:spacing w:before="0" w:after="120"/>
        <w:jc w:val="both"/>
        <w:rPr>
          <w:rFonts w:ascii="Book Antiqua" w:hAnsi="Book Antiqua" w:cs="Book Antiqua"/>
          <w:sz w:val="18"/>
          <w:szCs w:val="18"/>
        </w:rPr>
      </w:pPr>
      <w:r>
        <w:rPr>
          <w:rFonts w:cs="Book Antiqua" w:ascii="Book Antiqua" w:hAnsi="Book Antiqua"/>
          <w:sz w:val="18"/>
          <w:szCs w:val="18"/>
        </w:rPr>
        <w:t>21.1.1</w:t>
        <w:tab/>
        <w:t>No presente caso, obra de engenharia, o limite fixado para os acréscimos é de até 25% (vinte e cinco por cento) do valor inicial atualizado do contrato.</w:t>
      </w:r>
    </w:p>
    <w:p>
      <w:pPr>
        <w:pStyle w:val="Normal"/>
        <w:spacing w:before="0" w:after="120"/>
        <w:jc w:val="both"/>
        <w:rPr>
          <w:rFonts w:ascii="Book Antiqua" w:hAnsi="Book Antiqua" w:cs="Book Antiqua"/>
          <w:sz w:val="18"/>
          <w:szCs w:val="18"/>
        </w:rPr>
      </w:pPr>
      <w:r>
        <w:rPr>
          <w:rFonts w:cs="Book Antiqua" w:ascii="Book Antiqua" w:hAnsi="Book Antiqua"/>
          <w:sz w:val="18"/>
          <w:szCs w:val="18"/>
        </w:rPr>
        <w:t>21.1.2</w:t>
        <w:tab/>
        <w:t>As supressões ou acréscimos resultantes de acordo celebrado entre os contratantes não poderão transfigurar o objeto da contratação.</w:t>
      </w:r>
    </w:p>
    <w:p>
      <w:pPr>
        <w:pStyle w:val="Normal"/>
        <w:spacing w:before="0" w:after="120"/>
        <w:jc w:val="both"/>
        <w:rPr>
          <w:rFonts w:ascii="Book Antiqua" w:hAnsi="Book Antiqua" w:cs="Book Antiqua"/>
          <w:sz w:val="18"/>
          <w:szCs w:val="18"/>
        </w:rPr>
      </w:pPr>
      <w:r>
        <w:rPr>
          <w:rFonts w:cs="Book Antiqua" w:ascii="Book Antiqua" w:hAnsi="Book Antiqua"/>
          <w:sz w:val="18"/>
          <w:szCs w:val="18"/>
        </w:rPr>
        <w:t>21.1.3</w:t>
        <w:tab/>
        <w:t>O conjunto de acréscimos e o conjunto de supressões serão calculados sobre o valor original do contrato, aplicando-se a cada um desses conjuntos, individualmente e sem nenhum tipo de compensação entre eles, os limites de alteração acima estabelecidos.</w:t>
      </w:r>
    </w:p>
    <w:p>
      <w:pPr>
        <w:pStyle w:val="Normal"/>
        <w:spacing w:before="0" w:after="120"/>
        <w:jc w:val="both"/>
        <w:rPr/>
      </w:pPr>
      <w:r>
        <w:rPr>
          <w:rFonts w:cs="Book Antiqua" w:ascii="Book Antiqua" w:hAnsi="Book Antiqua"/>
          <w:sz w:val="18"/>
          <w:szCs w:val="18"/>
        </w:rPr>
        <w:t>21.2</w:t>
        <w:tab/>
        <w:t xml:space="preserve">As alterações contratuais decorrentes de alegação de falhas ou omissões em qualquer das peças, orçamentos, plantas, especificações, memoriais e estudos técnicos preliminares do projeto não poderão ultrapassar, no seu conjunto, </w:t>
      </w:r>
      <w:r>
        <w:rPr>
          <w:rFonts w:cs="Book Antiqua" w:ascii="Book Antiqua" w:hAnsi="Book Antiqua"/>
          <w:sz w:val="18"/>
          <w:szCs w:val="18"/>
          <w:u w:val="single"/>
          <w:shd w:fill="FFFFFF" w:val="clear"/>
        </w:rPr>
        <w:t xml:space="preserve">10% (dez por cento) </w:t>
      </w:r>
      <w:r>
        <w:rPr>
          <w:rFonts w:cs="Book Antiqua" w:ascii="Book Antiqua" w:hAnsi="Book Antiqua"/>
          <w:sz w:val="18"/>
          <w:szCs w:val="18"/>
        </w:rPr>
        <w:t>do valor total do contrato, computando-se esse percentual para verificação dos limites do art. 124, da Lei n° 14.133 de 2021.</w:t>
      </w:r>
    </w:p>
    <w:p>
      <w:pPr>
        <w:pStyle w:val="Normal"/>
        <w:spacing w:before="0" w:after="120"/>
        <w:jc w:val="both"/>
        <w:rPr>
          <w:rFonts w:ascii="Book Antiqua" w:hAnsi="Book Antiqua" w:cs="Book Antiqua"/>
          <w:sz w:val="18"/>
          <w:szCs w:val="18"/>
        </w:rPr>
      </w:pPr>
      <w:r>
        <w:rPr>
          <w:rFonts w:cs="Book Antiqua" w:ascii="Book Antiqua" w:hAnsi="Book Antiqua"/>
          <w:sz w:val="18"/>
          <w:szCs w:val="18"/>
        </w:rPr>
        <w:t>21.3</w:t>
        <w:tab/>
        <w:t>A formação do preço dos aditivos contratuais contará com orçamento específico detalhado em planilhas elaboradas pelo órgão, não podendo ser reduzida a diferença percentual entre o valor global estimado na fase preparatória da licitação e o valor global contratado, mantidos os limites do art. 125, da Lei n° 14.133, de 2021.</w:t>
      </w:r>
    </w:p>
    <w:p>
      <w:pPr>
        <w:pStyle w:val="Normal"/>
        <w:spacing w:before="0" w:after="120"/>
        <w:jc w:val="both"/>
        <w:rPr>
          <w:rFonts w:ascii="Book Antiqua" w:hAnsi="Book Antiqua" w:cs="Book Antiqua"/>
          <w:sz w:val="18"/>
          <w:szCs w:val="18"/>
        </w:rPr>
      </w:pPr>
      <w:r>
        <w:rPr>
          <w:rFonts w:cs="Book Antiqua" w:ascii="Book Antiqua" w:hAnsi="Book Antiqua"/>
          <w:sz w:val="18"/>
          <w:szCs w:val="18"/>
        </w:rPr>
        <w:t>21.3.1</w:t>
        <w:tab/>
        <w:t>Somente em condições especiais, devidamente justificadas em relatório técnico circunstanciado, elaborado por profissional habilitado e aprovado pelo órgão gestor dos recursos ou seu mandatário, poderão os custos das etapas do cronograma físico-financeiro exceder o limite de proporcionalidade acima fixado, sem prejuízo da avaliação dos órgãos de controle interno e externo.</w:t>
      </w:r>
    </w:p>
    <w:p>
      <w:pPr>
        <w:pStyle w:val="Normal"/>
        <w:jc w:val="both"/>
        <w:rPr/>
      </w:pPr>
      <w:r>
        <w:rPr>
          <w:rFonts w:ascii="Book Antiqua" w:hAnsi="Book Antiqua"/>
          <w:sz w:val="18"/>
          <w:szCs w:val="18"/>
        </w:rPr>
        <w:t xml:space="preserve">21.4 Os preços contratuais, em Reais, poderão ser reajustados pelos Índices utilizados pelo DNIT, para o Setor Rodoviário, apurados e fornecidos pela Fundação Getúlio Vargas, ou outra que vier a substituí-la, após decorrido 01 (um) ano </w:t>
      </w:r>
      <w:r>
        <w:rPr>
          <w:rFonts w:ascii="Book Antiqua" w:hAnsi="Book Antiqua"/>
          <w:b/>
          <w:bCs/>
          <w:sz w:val="18"/>
          <w:szCs w:val="18"/>
        </w:rPr>
        <w:t>da data-base do orçamento preestabelecido no Edital</w:t>
      </w:r>
      <w:r>
        <w:rPr>
          <w:rFonts w:ascii="Book Antiqua" w:hAnsi="Book Antiqua"/>
          <w:sz w:val="18"/>
          <w:szCs w:val="18"/>
        </w:rPr>
        <w:t xml:space="preserve">, nos termos do art. 3º, §1º, da </w:t>
      </w:r>
      <w:hyperlink r:id="rId59" w:tgtFrame="_top">
        <w:r>
          <w:rPr>
            <w:rStyle w:val="LinkdaInternet"/>
            <w:rFonts w:ascii="Book Antiqua" w:hAnsi="Book Antiqua"/>
            <w:sz w:val="18"/>
            <w:szCs w:val="18"/>
          </w:rPr>
          <w:t>Lei nº 10.192 de 2001</w:t>
        </w:r>
      </w:hyperlink>
      <w:r>
        <w:rPr>
          <w:rFonts w:ascii="Book Antiqua" w:hAnsi="Book Antiqua"/>
          <w:sz w:val="18"/>
          <w:szCs w:val="18"/>
        </w:rPr>
        <w:t>, sendo o índice inicial referente ao mês do Orçamento Referencial.</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21.5. Para apuração do índice correto, verificar a lista de disciplinas que compõe a </w:t>
      </w:r>
      <w:hyperlink r:id="rId60" w:tgtFrame="_top">
        <w:r>
          <w:rPr>
            <w:rStyle w:val="LinkdaInternet"/>
            <w:rFonts w:ascii="Book Antiqua" w:hAnsi="Book Antiqua"/>
            <w:sz w:val="18"/>
            <w:szCs w:val="18"/>
          </w:rPr>
          <w:t>Instrução Normativa Nº 1/DNIT Sede, de 24 de janeiro de 2023</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21.6 Dentro do prazo de vigência do contrato e mediante solicitação da contratada, os preços contratados poderão sofrer reajuste após o interregno de um ano, aplicando-se o índice de reajustamento do DNIT/FGV exclusivamente para as obrigações iniciadas e concluídas após a ocorrência da anualidade.</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21.7 Nos reajustes subsequentes ao primeiro, o interregno mínimo de um ano será contado a partir dos efeitos financeiros do último reajuste.</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21.8 No caso de atraso ou não divulgação do índice de reajustamento, a Contratante pagará à Contratada a importância calculada pela última variação conhecida, liquidando a diferença correspondente tão logo seja divulgado o índice definitivo.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21.9. Nas aferições finais, o índice utilizado para reajuste será, obrigatoriamente, o definitivo.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21.10 Caso o índice estabelecido para reajustamento venha a ser extinto ou de qualquer forma não possa mais ser utilizado, será adotado, em substituição, o que vier a ser determinado pela legislação então em vigor.</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21.11 Na ausência de previsão legal quanto ao índice substituto, as partes elegerão novo índice oficial, para reajustamento do preço do valor remanescente, por meio de termo aditivo.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21.12. O reajuste será realizado por apostilamento.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21.13. Não se admitirá como encargo financeiro juros, despesas bancárias e ônus semelhantes.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21.14. O valor da parcela de reajustamento deverá ser calculado conforme regra definida a seguir.</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drawing>
          <wp:inline distT="0" distB="0" distL="0" distR="0">
            <wp:extent cx="952500" cy="425450"/>
            <wp:effectExtent l="0" t="0" r="0" b="0"/>
            <wp:docPr id="1" name="1" descr="fó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descr="fórmula"/>
                    <pic:cNvPicPr>
                      <a:picLocks noChangeAspect="1" noChangeArrowheads="1"/>
                    </pic:cNvPicPr>
                  </pic:nvPicPr>
                  <pic:blipFill>
                    <a:blip r:embed="rId61"/>
                    <a:stretch>
                      <a:fillRect/>
                    </a:stretch>
                  </pic:blipFill>
                  <pic:spPr bwMode="auto">
                    <a:xfrm>
                      <a:off x="0" y="0"/>
                      <a:ext cx="952500" cy="425450"/>
                    </a:xfrm>
                    <a:prstGeom prst="rect">
                      <a:avLst/>
                    </a:prstGeom>
                  </pic:spPr>
                </pic:pic>
              </a:graphicData>
            </a:graphic>
          </wp:inline>
        </w:drawing>
      </w:r>
    </w:p>
    <w:p>
      <w:pPr>
        <w:pStyle w:val="Normal"/>
        <w:jc w:val="both"/>
        <w:rPr>
          <w:rFonts w:ascii="Book Antiqua" w:hAnsi="Book Antiqua"/>
          <w:sz w:val="18"/>
          <w:szCs w:val="18"/>
        </w:rPr>
      </w:pPr>
      <w:r>
        <w:rPr>
          <w:rFonts w:ascii="Book Antiqua" w:hAnsi="Book Antiqua"/>
          <w:sz w:val="18"/>
          <w:szCs w:val="18"/>
        </w:rPr>
        <w:t>Onde,</w:t>
      </w:r>
    </w:p>
    <w:p>
      <w:pPr>
        <w:pStyle w:val="Normal"/>
        <w:jc w:val="both"/>
        <w:rPr>
          <w:rFonts w:ascii="Book Antiqua" w:hAnsi="Book Antiqua"/>
          <w:sz w:val="18"/>
          <w:szCs w:val="18"/>
        </w:rPr>
      </w:pPr>
      <w:r>
        <w:rPr>
          <w:rFonts w:ascii="Book Antiqua" w:hAnsi="Book Antiqua"/>
          <w:sz w:val="18"/>
          <w:szCs w:val="18"/>
        </w:rPr>
        <w:t>R = Valor da parcela de reajustamento a ser calculada;</w:t>
      </w:r>
    </w:p>
    <w:p>
      <w:pPr>
        <w:pStyle w:val="Normal"/>
        <w:jc w:val="both"/>
        <w:rPr/>
      </w:pPr>
      <w:r>
        <w:rPr>
          <w:rFonts w:ascii="Book Antiqua" w:hAnsi="Book Antiqua"/>
          <w:sz w:val="18"/>
          <w:szCs w:val="18"/>
        </w:rPr>
        <w:t>I</w:t>
      </w:r>
      <w:r>
        <w:rPr>
          <w:rFonts w:ascii="Book Antiqua" w:hAnsi="Book Antiqua"/>
          <w:position w:val="-1"/>
          <w:sz w:val="18"/>
          <w:szCs w:val="18"/>
        </w:rPr>
        <w:t>0</w:t>
      </w:r>
      <w:r>
        <w:rPr>
          <w:rFonts w:ascii="Book Antiqua" w:hAnsi="Book Antiqua"/>
          <w:sz w:val="18"/>
          <w:szCs w:val="18"/>
        </w:rPr>
        <w:t xml:space="preserve"> = Índice de preço verificado no mês base do orçamento;</w:t>
      </w:r>
    </w:p>
    <w:p>
      <w:pPr>
        <w:pStyle w:val="Normal"/>
        <w:jc w:val="both"/>
        <w:rPr/>
      </w:pPr>
      <w:r>
        <w:rPr>
          <w:rFonts w:ascii="Book Antiqua" w:hAnsi="Book Antiqua"/>
          <w:sz w:val="18"/>
          <w:szCs w:val="18"/>
        </w:rPr>
        <w:t>I</w:t>
      </w:r>
      <w:r>
        <w:rPr>
          <w:rFonts w:ascii="Book Antiqua" w:hAnsi="Book Antiqua"/>
          <w:position w:val="-1"/>
          <w:sz w:val="18"/>
          <w:szCs w:val="18"/>
        </w:rPr>
        <w:t>i</w:t>
      </w:r>
      <w:r>
        <w:rPr>
          <w:rFonts w:ascii="Book Antiqua" w:hAnsi="Book Antiqua"/>
          <w:sz w:val="18"/>
          <w:szCs w:val="18"/>
        </w:rPr>
        <w:t xml:space="preserve"> = Índice de preço referente ao mês de reajustamento;</w:t>
      </w:r>
    </w:p>
    <w:p>
      <w:pPr>
        <w:pStyle w:val="Normal"/>
        <w:jc w:val="both"/>
        <w:rPr>
          <w:rFonts w:ascii="Book Antiqua" w:hAnsi="Book Antiqua"/>
          <w:sz w:val="18"/>
          <w:szCs w:val="18"/>
        </w:rPr>
      </w:pPr>
      <w:r>
        <w:rPr>
          <w:rFonts w:ascii="Book Antiqua" w:hAnsi="Book Antiqua"/>
          <w:sz w:val="18"/>
          <w:szCs w:val="18"/>
        </w:rPr>
        <w:t>V = Valor, a preços iniciais, da parcela do contrato ou serviço a ser reajustado.</w:t>
      </w:r>
    </w:p>
    <w:p>
      <w:pPr>
        <w:pStyle w:val="Normal"/>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21.15 Excluem-se da revisão de preços as parcelas correspondentes à indenização de materiais fornecidos pelo contratado, cujos custos tenham sido medidos e pagos pelos valores consignados no documento oficial relativo à compra</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21.16 O índice de reajustamento composto a ser aplicado para misturas asfálticas adquiridas comercialmente deverá ser elaborado conforme art. 20 da a </w:t>
      </w:r>
      <w:hyperlink r:id="rId62" w:tgtFrame="_top">
        <w:r>
          <w:rPr>
            <w:rStyle w:val="LinkdaInternet"/>
            <w:rFonts w:ascii="Book Antiqua" w:hAnsi="Book Antiqua"/>
            <w:sz w:val="18"/>
            <w:szCs w:val="18"/>
          </w:rPr>
          <w:t>Instrução Normativa Nº 1/DNIT Sede, de 24 de janeiro de 2023</w:t>
        </w:r>
      </w:hyperlink>
      <w:r>
        <w:rPr>
          <w:rFonts w:ascii="Book Antiqua" w:hAnsi="Book Antiqua"/>
          <w:sz w:val="18"/>
          <w:szCs w:val="18"/>
        </w:rPr>
        <w:t>.</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21.17 A iniciativa e o encargo para o cálculo do reajustamento deverão ocorrer por conta da contratada, cabendo ao órgão ou entidade contratante a verificação do resultado obtido, e se houver concordância, aplicar o reajustamento dos preços com fundamentos nesses cálculos. Se equivocados, deverá ter o respectivo protocolo devolvido paras as devidas correções apontadas pela Administração.</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21.18 Para itens de contratos que necessitam ser reajustados por mais de um índice, as parcelas que compõe esses itens deverão ser desmembrados, passando cada parcela a ser corrigida pelo seu respectivo índice.</w:t>
      </w:r>
    </w:p>
    <w:p>
      <w:pPr>
        <w:pStyle w:val="Normal"/>
        <w:jc w:val="both"/>
        <w:rPr>
          <w:rFonts w:ascii="Book Antiqua" w:hAnsi="Book Antiqua"/>
          <w:sz w:val="18"/>
          <w:szCs w:val="18"/>
        </w:rPr>
      </w:pPr>
      <w:r>
        <w:rPr>
          <w:rFonts w:ascii="Book Antiqua" w:hAnsi="Book Antiqua"/>
          <w:sz w:val="18"/>
          <w:szCs w:val="18"/>
        </w:rPr>
      </w:r>
    </w:p>
    <w:p>
      <w:pPr>
        <w:pStyle w:val="Corpodetexto21"/>
        <w:rPr/>
      </w:pPr>
      <w:r>
        <w:rPr>
          <w:rFonts w:cs="Book Antiqua" w:ascii="Book Antiqua" w:hAnsi="Book Antiqua"/>
          <w:sz w:val="18"/>
          <w:szCs w:val="18"/>
        </w:rPr>
        <w:t>21.19 Demais informações constantes no Estudo Técnico Preliminar – ETP e Projeto Básico , anexo a este edital.</w:t>
      </w:r>
    </w:p>
    <w:p>
      <w:pPr>
        <w:pStyle w:val="Corpodetexto22"/>
        <w:rPr>
          <w:rFonts w:ascii="Book Antiqua" w:hAnsi="Book Antiqua" w:cs="Book Antiqua"/>
          <w:sz w:val="18"/>
          <w:szCs w:val="18"/>
        </w:rPr>
      </w:pPr>
      <w:r>
        <w:rPr>
          <w:rFonts w:cs="Book Antiqua" w:ascii="Book Antiqua" w:hAnsi="Book Antiqua"/>
          <w:sz w:val="18"/>
          <w:szCs w:val="18"/>
        </w:rPr>
      </w:r>
    </w:p>
    <w:p>
      <w:pPr>
        <w:pStyle w:val="Corpodetexto22"/>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22. DA GARANTIA CONTRATUAL</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22.1 – Após assinar o contrato, deverá o vencedor prestar garantia de 5% (cinco por cento) do valor deste a preços iniciais, no prazo mínimo de 30(trinta) dias, nos termos do Art. 96 § 3º da Lei 14.133 de 2021, sob pena de decair o direito à contratação.</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22.2 – A caução inicial será reforçada durante a execução dos serviços contratados, de forma a totalizar sempre 5% (cinco por cento) do valor vigente do contrato (preços iniciais mais aditivos e reajustamentos se houver).</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22.3 – A garantia e seus reforços poderão ser realizados em uma das seguintes modalidades:</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I –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II – seguro-garantia;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III – fiança bancária emitida por banco ou instituição financeira devidamente autorizada a operar no País pelo Banco Central do Brasil.</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IV – título de capitalização custeado por pagamento único, com resgate pelo valor total.</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22.3.1 Não serão aceitos cheques sob nenhuma hipótese.</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22.3.2 No caso de opção pela modalidade "I - Caução </w:t>
      </w:r>
      <w:r>
        <w:rPr>
          <w:rFonts w:ascii="Book Antiqua" w:hAnsi="Book Antiqua"/>
          <w:kern w:val="0"/>
          <w:szCs w:val="18"/>
          <w:lang w:eastAsia="pt-BR"/>
        </w:rPr>
        <w:t xml:space="preserve">em dinheiro", </w:t>
      </w:r>
      <w:r>
        <w:rPr>
          <w:rFonts w:ascii="Book Antiqua" w:hAnsi="Book Antiqua"/>
          <w:kern w:val="0"/>
          <w:sz w:val="18"/>
          <w:szCs w:val="18"/>
          <w:lang w:eastAsia="pt-BR"/>
        </w:rPr>
        <w:t>o interessado deverá procurar a Administração Pública Municipal, em Rondonópolis/MT, para obter instruções de como efetuá-la.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22.3.3 No caso de caução com "I - [...] Títulos da Dívida Pública", estes deverão estar acompanhados de laudo de avaliação da Secretaria do Tesouro Nacional, no qual informe sobre a exequibilidade, valor e prazo de resgate, taxa de atualização, e condições de resgate.</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22.3.4 Para a prestação de garantia na modalidade "II - Seguro-Garantia", o prazo será de 1 (um) mês, contado da data de homologação da licitação e anterior à assinatura do contrato (art. 96, §3º da Lei nº 14.133, de 1º de abril de 2021) e dar-se-á mediante entrega da competente apólice emitida por entidade em funcionamento no País, e em nome do Município de Rondonópolis, cobrindo o risco de quebra do contrato, pelo prazo da duração do contrato,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 </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22.3.5 Caso a garantia se dê por "III - Fiança Bancária", esta deverá ser fornecida por um banco localizado no Brasil, a critério da LICITANTE,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 </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22.3.6 Caso a garantia se dê por "IV – Título de Capitalização", esta deverá ser fornecida por um banco localizado no Brasil, a critério da LICITANTE,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 </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22.3.7 A garantia prestada pela Contratada lhe será restituída ou liberada após o Recebimento Definitivo do(s) serviço(s) e, quando em dinheiro, com a devida atualização monetária.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22.4 – A contratada é responsável pelos danos causados diretamente à Administração ou a terceiros, na forma do art. 120, da Lei nº 14.133 de 2021. O contratado é responsável pelos encargos trabalhistas, previdenciários, fiscais e comerciais de suas subcontratadas resultantes da execução do contrato, cabendo a ele a fiscalização do cumprimento de suas obrigações.</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22.5 - Ocorrendo a rescisão com fundamento nos incisos I a IX do Art. 137 da Lei nº 14.133, de 1º de abril de 2021, a Administração executará a garantia prestada pela Contratada.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22.6 - A garantia prestada visa garantir o pleno cumprimento, pela Contratada, das obrigações estipuladas neste Contrato: ressarcir a Contratante de quaisquer prejuízos decorrentes de sua rescisão unilateral e injustificada; cobrir multas que vierem a ser aplicadas em decorrência de rescisão contratual ou aplicadas por descumprimento de quaisquer outras obrigações contratuais ou, ainda, cobrir perdas e danos causados à Contratante.</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22.7 - Não será aceita a prestação de garantia que não cubra todos os riscos ou prejuízos eventualmente decorrentes da execução do contrato, tais como a responsabilidade por multas e obrigações trabalhistas, previdenciárias ou sociais. </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22.10 - O licitante se obrigará, conforme artigo 618 do Código Civil Brasileiro, garantir pelo prazo mínimo de 05 (cinco) anos, todos os serviços executados, contados a partir data de emissão do Termo de Recebimento Definitivo.</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22.11 Conforme o art. 4º da Instrução Normativa nº 01/2014 da Unidade Central de Controle Interno, fica a cargo do setor de contrato, informar ao contratado para proceder à entrega da garantia contratual ao Departamento de Tesouraria da Secretaria Municipal de Finanças – SEFIN.</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22.12 Apresentada a caução e verificada a autenticidade do documento, o Departamento de Tesouraria emitira o termo de recebimento da garantia e entregará ao contratado, no qual apresentará o termo da caução junto a Secretaria Municipal de Saúde, no prazo de dois uteis, para fins de emissão de ordem de serviço.</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22.13 Ao licitante que se consagra vencedora com uma proposta inferior a 85% (oitenta e cinco por cento) do valor orçado pela administração pública, deverá fornecer garantias adicionais, equivalente à diferença entre este último e o valor da proposta, sem prejuízo das demais garantias exigíveis nos termos do Art. 59 da Lei nº 14.133 de 2021.</w:t>
      </w:r>
    </w:p>
    <w:p>
      <w:pPr>
        <w:pStyle w:val="Normal"/>
        <w:suppressAutoHyphens w:val="false"/>
        <w:spacing w:before="238" w:after="238"/>
        <w:jc w:val="both"/>
        <w:rPr>
          <w:rFonts w:ascii="Book Antiqua" w:hAnsi="Book Antiqua" w:cs="Arial"/>
          <w:b/>
          <w:b/>
          <w:bCs/>
          <w:kern w:val="0"/>
          <w:sz w:val="18"/>
          <w:szCs w:val="18"/>
          <w:lang w:eastAsia="pt-BR"/>
        </w:rPr>
      </w:pPr>
      <w:r>
        <w:rPr>
          <w:rFonts w:ascii="Book Antiqua" w:hAnsi="Book Antiqua"/>
          <w:kern w:val="0"/>
          <w:sz w:val="18"/>
          <w:szCs w:val="18"/>
          <w:lang w:eastAsia="pt-BR"/>
        </w:rPr>
        <w:t>22</w:t>
      </w:r>
      <w:r>
        <w:rPr>
          <w:rFonts w:ascii="Book Antiqua" w:hAnsi="Book Antiqua"/>
          <w:b/>
          <w:bCs/>
          <w:kern w:val="0"/>
          <w:sz w:val="18"/>
          <w:szCs w:val="18"/>
          <w:lang w:eastAsia="pt-BR"/>
        </w:rPr>
        <w:t>.2 DA GARANTIA ADICIONAL</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22.2.1 A Contratada deverá prestar garantia adicional nos termos do art. 59, § 5º, Lei nº 14.133, de 1º de abril de 2021, abaixo reproduzido:</w:t>
      </w:r>
    </w:p>
    <w:p>
      <w:pPr>
        <w:pStyle w:val="Normal"/>
        <w:suppressAutoHyphens w:val="false"/>
        <w:spacing w:before="238" w:after="238"/>
        <w:ind w:left="709" w:hanging="0"/>
        <w:jc w:val="both"/>
        <w:rPr>
          <w:rFonts w:ascii="Book Antiqua" w:hAnsi="Book Antiqua" w:cs="Arial"/>
          <w:kern w:val="0"/>
          <w:sz w:val="18"/>
          <w:szCs w:val="18"/>
          <w:lang w:eastAsia="pt-BR"/>
        </w:rPr>
      </w:pPr>
      <w:r>
        <w:rPr>
          <w:rFonts w:ascii="Book Antiqua" w:hAnsi="Book Antiqua"/>
          <w:i/>
          <w:iCs/>
          <w:kern w:val="0"/>
          <w:sz w:val="18"/>
          <w:szCs w:val="18"/>
          <w:lang w:eastAsia="pt-BR"/>
        </w:rPr>
        <w:t>Lei Federal nº 14.133/2021; Lei de Licitações e Contratos Administrativos. Art. 59º Para os fins desta Lei, consideram-se:</w:t>
      </w:r>
    </w:p>
    <w:p>
      <w:pPr>
        <w:pStyle w:val="Normal"/>
        <w:suppressAutoHyphens w:val="false"/>
        <w:spacing w:before="238" w:after="238"/>
        <w:ind w:left="709" w:hanging="0"/>
        <w:jc w:val="both"/>
        <w:rPr>
          <w:rFonts w:ascii="Book Antiqua" w:hAnsi="Book Antiqua" w:cs="Arial"/>
          <w:kern w:val="0"/>
          <w:sz w:val="18"/>
          <w:szCs w:val="18"/>
          <w:lang w:eastAsia="pt-BR"/>
        </w:rPr>
      </w:pPr>
      <w:r>
        <w:rPr>
          <w:rFonts w:ascii="Book Antiqua" w:hAnsi="Book Antiqua"/>
          <w:i/>
          <w:iCs/>
          <w:kern w:val="0"/>
          <w:sz w:val="18"/>
          <w:szCs w:val="18"/>
          <w:lang w:eastAsia="pt-BR"/>
        </w:rPr>
        <w:t>[...]</w:t>
      </w:r>
    </w:p>
    <w:p>
      <w:pPr>
        <w:pStyle w:val="Normal"/>
        <w:suppressAutoHyphens w:val="false"/>
        <w:spacing w:before="238" w:after="238"/>
        <w:ind w:left="709" w:hanging="0"/>
        <w:jc w:val="both"/>
        <w:rPr>
          <w:rFonts w:ascii="Book Antiqua" w:hAnsi="Book Antiqua" w:cs="Arial"/>
          <w:kern w:val="0"/>
          <w:sz w:val="18"/>
          <w:szCs w:val="18"/>
          <w:lang w:eastAsia="pt-BR"/>
        </w:rPr>
      </w:pPr>
      <w:r>
        <w:rPr>
          <w:rFonts w:ascii="Book Antiqua" w:hAnsi="Book Antiqua"/>
          <w:i/>
          <w:iCs/>
          <w:kern w:val="0"/>
          <w:sz w:val="18"/>
          <w:szCs w:val="18"/>
          <w:lang w:eastAsia="pt-BR"/>
        </w:rPr>
        <w:t>§ 5º 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22.2.2 O valor da garantia adicional corresponderá à diferença entre 85% do valor orçado pela Administração e o valor da proposta vencedora, calculado conforme a seguinte fórmula:</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Garantia Adicional = 85 % do Valor Orçado pela Administração - Valor da Proposta Vencedora</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 xml:space="preserve">22.2.3. Exemplo de cálculo: </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 xml:space="preserve">- Valor orçado pela Administração: R$ 1.000.000,00 </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 xml:space="preserve">- 85% do valor orçado: R$ 850.000,00 </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 xml:space="preserve">- Proposta vencedora: R$ 800.000,00 </w:t>
      </w:r>
    </w:p>
    <w:p>
      <w:pPr>
        <w:pStyle w:val="Normal"/>
        <w:suppressAutoHyphens w:val="false"/>
        <w:spacing w:before="238" w:after="238"/>
        <w:jc w:val="both"/>
        <w:rPr>
          <w:rFonts w:ascii="Book Antiqua" w:hAnsi="Book Antiqua"/>
          <w:vanish/>
          <w:kern w:val="0"/>
          <w:sz w:val="18"/>
          <w:szCs w:val="18"/>
          <w:lang w:val="pt-PT" w:eastAsia="pt-BR"/>
        </w:rPr>
      </w:pPr>
      <w:r>
        <w:rPr>
          <w:rFonts w:ascii="Book Antiqua" w:hAnsi="Book Antiqua"/>
          <w:kern w:val="0"/>
          <w:sz w:val="18"/>
          <w:szCs w:val="18"/>
          <w:lang w:eastAsia="pt-BR"/>
        </w:rPr>
        <w:t>- Garantia adicional devida: R$ 50.000,00</w:t>
      </w:r>
      <w:r>
        <w:rPr>
          <w:rFonts w:ascii="Book Antiqua" w:hAnsi="Book Antiqua"/>
          <w:vanish/>
          <w:kern w:val="0"/>
          <w:sz w:val="18"/>
          <w:szCs w:val="18"/>
          <w:lang w:val="pt-PT" w:eastAsia="pt-BR"/>
        </w:rPr>
        <w:t>85% do valor orçado: R$ 850.000,00 Proposta vencedora: R$ 800.000,00 Garantia</w:t>
      </w:r>
      <w:r>
        <w:rPr>
          <w:rFonts w:ascii="Book Antiqua" w:hAnsi="Book Antiqua"/>
          <w:vanish/>
          <w:spacing w:val="-10"/>
          <w:kern w:val="0"/>
          <w:sz w:val="18"/>
          <w:szCs w:val="18"/>
          <w:lang w:val="pt-PT" w:eastAsia="pt-BR"/>
        </w:rPr>
        <w:t xml:space="preserve"> </w:t>
      </w:r>
      <w:r>
        <w:rPr>
          <w:rFonts w:ascii="Book Antiqua" w:hAnsi="Book Antiqua"/>
          <w:vanish/>
          <w:kern w:val="0"/>
          <w:sz w:val="18"/>
          <w:szCs w:val="18"/>
          <w:lang w:val="pt-PT" w:eastAsia="pt-BR"/>
        </w:rPr>
        <w:t>adicional</w:t>
      </w:r>
      <w:r>
        <w:rPr>
          <w:rFonts w:ascii="Book Antiqua" w:hAnsi="Book Antiqua"/>
          <w:vanish/>
          <w:spacing w:val="-8"/>
          <w:kern w:val="0"/>
          <w:sz w:val="18"/>
          <w:szCs w:val="18"/>
          <w:lang w:val="pt-PT" w:eastAsia="pt-BR"/>
        </w:rPr>
        <w:t xml:space="preserve"> </w:t>
      </w:r>
      <w:r>
        <w:rPr>
          <w:rFonts w:ascii="Book Antiqua" w:hAnsi="Book Antiqua"/>
          <w:vanish/>
          <w:kern w:val="0"/>
          <w:sz w:val="18"/>
          <w:szCs w:val="18"/>
          <w:lang w:val="pt-PT" w:eastAsia="pt-BR"/>
        </w:rPr>
        <w:t>devida:</w:t>
      </w:r>
      <w:r>
        <w:rPr>
          <w:rFonts w:ascii="Book Antiqua" w:hAnsi="Book Antiqua"/>
          <w:vanish/>
          <w:spacing w:val="-6"/>
          <w:kern w:val="0"/>
          <w:sz w:val="18"/>
          <w:szCs w:val="18"/>
          <w:lang w:val="pt-PT" w:eastAsia="pt-BR"/>
        </w:rPr>
        <w:t xml:space="preserve"> </w:t>
      </w:r>
      <w:r>
        <w:rPr>
          <w:rFonts w:ascii="Book Antiqua" w:hAnsi="Book Antiqua"/>
          <w:vanish/>
          <w:kern w:val="0"/>
          <w:sz w:val="18"/>
          <w:szCs w:val="18"/>
          <w:lang w:val="pt-PT" w:eastAsia="pt-BR"/>
        </w:rPr>
        <w:t>R$</w:t>
      </w:r>
      <w:r>
        <w:rPr>
          <w:rFonts w:ascii="Book Antiqua" w:hAnsi="Book Antiqua"/>
          <w:vanish/>
          <w:spacing w:val="-10"/>
          <w:kern w:val="0"/>
          <w:sz w:val="18"/>
          <w:szCs w:val="18"/>
          <w:lang w:val="pt-PT" w:eastAsia="pt-BR"/>
        </w:rPr>
        <w:t xml:space="preserve"> </w:t>
      </w:r>
      <w:r>
        <w:rPr>
          <w:rFonts w:ascii="Book Antiqua" w:hAnsi="Book Antiqua"/>
          <w:vanish/>
          <w:kern w:val="0"/>
          <w:sz w:val="18"/>
          <w:szCs w:val="18"/>
          <w:lang w:val="pt-PT" w:eastAsia="pt-BR"/>
        </w:rPr>
        <w:t>50.000,00</w:t>
      </w:r>
    </w:p>
    <w:p>
      <w:pPr>
        <w:pStyle w:val="Normal"/>
        <w:suppressAutoHyphens w:val="false"/>
        <w:spacing w:before="40" w:afterAutospacing="1"/>
        <w:jc w:val="both"/>
        <w:rPr>
          <w:rFonts w:ascii="Book Antiqua" w:hAnsi="Book Antiqua"/>
          <w:vanish/>
          <w:kern w:val="0"/>
          <w:sz w:val="18"/>
          <w:szCs w:val="18"/>
          <w:lang w:val="pt-PT" w:eastAsia="pt-BR"/>
        </w:rPr>
      </w:pPr>
      <w:r>
        <w:rPr>
          <w:rFonts w:ascii="Book Antiqua" w:hAnsi="Book Antiqua"/>
          <w:vanish/>
          <w:kern w:val="0"/>
          <w:sz w:val="18"/>
          <w:szCs w:val="18"/>
          <w:lang w:val="pt-PT" w:eastAsia="pt-BR"/>
        </w:rPr>
      </w:r>
    </w:p>
    <w:p>
      <w:pPr>
        <w:pStyle w:val="Normal"/>
        <w:suppressAutoHyphens w:val="false"/>
        <w:spacing w:lineRule="auto" w:line="276" w:beforeAutospacing="1" w:afterAutospacing="1"/>
        <w:ind w:right="153" w:hanging="0"/>
        <w:jc w:val="both"/>
        <w:rPr>
          <w:rFonts w:ascii="Book Antiqua" w:hAnsi="Book Antiqua"/>
          <w:kern w:val="0"/>
          <w:sz w:val="18"/>
          <w:szCs w:val="18"/>
          <w:lang w:eastAsia="pt-BR"/>
        </w:rPr>
      </w:pPr>
      <w:r>
        <w:rPr>
          <w:rFonts w:ascii="Book Antiqua" w:hAnsi="Book Antiqua"/>
          <w:kern w:val="0"/>
          <w:sz w:val="18"/>
          <w:szCs w:val="18"/>
          <w:lang w:eastAsia="pt-BR"/>
        </w:rPr>
      </w:r>
    </w:p>
    <w:p>
      <w:pPr>
        <w:pStyle w:val="Normal"/>
        <w:suppressAutoHyphens w:val="false"/>
        <w:spacing w:lineRule="auto" w:line="276" w:beforeAutospacing="1" w:afterAutospacing="1"/>
        <w:ind w:right="153" w:hanging="0"/>
        <w:jc w:val="both"/>
        <w:rPr>
          <w:rFonts w:ascii="Book Antiqua" w:hAnsi="Book Antiqua" w:cs="Arial"/>
          <w:kern w:val="0"/>
          <w:sz w:val="18"/>
          <w:szCs w:val="18"/>
          <w:lang w:eastAsia="pt-BR"/>
        </w:rPr>
      </w:pPr>
      <w:r>
        <w:rPr>
          <w:rFonts w:ascii="Book Antiqua" w:hAnsi="Book Antiqua"/>
          <w:kern w:val="0"/>
          <w:sz w:val="18"/>
          <w:szCs w:val="18"/>
          <w:lang w:eastAsia="pt-BR"/>
        </w:rPr>
        <w:t>22.2.4 A</w:t>
      </w:r>
      <w:r>
        <w:rPr>
          <w:rFonts w:ascii="Book Antiqua" w:hAnsi="Book Antiqua"/>
          <w:spacing w:val="-6"/>
          <w:kern w:val="0"/>
          <w:sz w:val="18"/>
          <w:szCs w:val="18"/>
          <w:lang w:eastAsia="pt-BR"/>
        </w:rPr>
        <w:t xml:space="preserve"> </w:t>
      </w:r>
      <w:r>
        <w:rPr>
          <w:rFonts w:ascii="Book Antiqua" w:hAnsi="Book Antiqua"/>
          <w:kern w:val="0"/>
          <w:sz w:val="18"/>
          <w:szCs w:val="18"/>
          <w:lang w:eastAsia="pt-BR"/>
        </w:rPr>
        <w:t>garantia</w:t>
      </w:r>
      <w:r>
        <w:rPr>
          <w:rFonts w:ascii="Book Antiqua" w:hAnsi="Book Antiqua"/>
          <w:spacing w:val="-6"/>
          <w:kern w:val="0"/>
          <w:sz w:val="18"/>
          <w:szCs w:val="18"/>
          <w:lang w:eastAsia="pt-BR"/>
        </w:rPr>
        <w:t xml:space="preserve"> </w:t>
      </w:r>
      <w:r>
        <w:rPr>
          <w:rFonts w:ascii="Book Antiqua" w:hAnsi="Book Antiqua"/>
          <w:kern w:val="0"/>
          <w:sz w:val="18"/>
          <w:szCs w:val="18"/>
          <w:lang w:eastAsia="pt-BR"/>
        </w:rPr>
        <w:t>adicional</w:t>
      </w:r>
      <w:r>
        <w:rPr>
          <w:rFonts w:ascii="Book Antiqua" w:hAnsi="Book Antiqua"/>
          <w:spacing w:val="-6"/>
          <w:kern w:val="0"/>
          <w:sz w:val="18"/>
          <w:szCs w:val="18"/>
          <w:lang w:eastAsia="pt-BR"/>
        </w:rPr>
        <w:t xml:space="preserve"> </w:t>
      </w:r>
      <w:r>
        <w:rPr>
          <w:rFonts w:ascii="Book Antiqua" w:hAnsi="Book Antiqua"/>
          <w:kern w:val="0"/>
          <w:sz w:val="18"/>
          <w:szCs w:val="18"/>
          <w:lang w:eastAsia="pt-BR"/>
        </w:rPr>
        <w:t>deverá</w:t>
      </w:r>
      <w:r>
        <w:rPr>
          <w:rFonts w:ascii="Book Antiqua" w:hAnsi="Book Antiqua"/>
          <w:spacing w:val="-6"/>
          <w:kern w:val="0"/>
          <w:sz w:val="18"/>
          <w:szCs w:val="18"/>
          <w:lang w:eastAsia="pt-BR"/>
        </w:rPr>
        <w:t xml:space="preserve"> </w:t>
      </w:r>
      <w:r>
        <w:rPr>
          <w:rFonts w:ascii="Book Antiqua" w:hAnsi="Book Antiqua"/>
          <w:kern w:val="0"/>
          <w:sz w:val="18"/>
          <w:szCs w:val="18"/>
          <w:lang w:eastAsia="pt-BR"/>
        </w:rPr>
        <w:t>ser</w:t>
      </w:r>
      <w:r>
        <w:rPr>
          <w:rFonts w:ascii="Book Antiqua" w:hAnsi="Book Antiqua"/>
          <w:spacing w:val="-6"/>
          <w:kern w:val="0"/>
          <w:sz w:val="18"/>
          <w:szCs w:val="18"/>
          <w:lang w:eastAsia="pt-BR"/>
        </w:rPr>
        <w:t xml:space="preserve"> </w:t>
      </w:r>
      <w:r>
        <w:rPr>
          <w:rFonts w:ascii="Book Antiqua" w:hAnsi="Book Antiqua"/>
          <w:kern w:val="0"/>
          <w:sz w:val="18"/>
          <w:szCs w:val="18"/>
          <w:lang w:eastAsia="pt-BR"/>
        </w:rPr>
        <w:t>apresentada</w:t>
      </w:r>
      <w:r>
        <w:rPr>
          <w:rFonts w:ascii="Book Antiqua" w:hAnsi="Book Antiqua"/>
          <w:spacing w:val="-6"/>
          <w:kern w:val="0"/>
          <w:sz w:val="18"/>
          <w:szCs w:val="18"/>
          <w:lang w:eastAsia="pt-BR"/>
        </w:rPr>
        <w:t xml:space="preserve"> </w:t>
      </w:r>
      <w:r>
        <w:rPr>
          <w:rFonts w:ascii="Book Antiqua" w:hAnsi="Book Antiqua"/>
          <w:kern w:val="0"/>
          <w:sz w:val="18"/>
          <w:szCs w:val="18"/>
          <w:lang w:eastAsia="pt-BR"/>
        </w:rPr>
        <w:t>no</w:t>
      </w:r>
      <w:r>
        <w:rPr>
          <w:rFonts w:ascii="Book Antiqua" w:hAnsi="Book Antiqua"/>
          <w:spacing w:val="-8"/>
          <w:kern w:val="0"/>
          <w:sz w:val="18"/>
          <w:szCs w:val="18"/>
          <w:lang w:eastAsia="pt-BR"/>
        </w:rPr>
        <w:t xml:space="preserve"> </w:t>
      </w:r>
      <w:r>
        <w:rPr>
          <w:rFonts w:ascii="Book Antiqua" w:hAnsi="Book Antiqua"/>
          <w:kern w:val="0"/>
          <w:sz w:val="18"/>
          <w:szCs w:val="18"/>
          <w:lang w:eastAsia="pt-BR"/>
        </w:rPr>
        <w:t>prazo</w:t>
      </w:r>
      <w:r>
        <w:rPr>
          <w:rFonts w:ascii="Book Antiqua" w:hAnsi="Book Antiqua"/>
          <w:spacing w:val="-8"/>
          <w:kern w:val="0"/>
          <w:sz w:val="18"/>
          <w:szCs w:val="18"/>
          <w:lang w:eastAsia="pt-BR"/>
        </w:rPr>
        <w:t xml:space="preserve"> </w:t>
      </w:r>
      <w:r>
        <w:rPr>
          <w:rFonts w:ascii="Book Antiqua" w:hAnsi="Book Antiqua"/>
          <w:kern w:val="0"/>
          <w:sz w:val="18"/>
          <w:szCs w:val="18"/>
          <w:lang w:eastAsia="pt-BR"/>
        </w:rPr>
        <w:t>de,</w:t>
      </w:r>
      <w:r>
        <w:rPr>
          <w:rFonts w:ascii="Book Antiqua" w:hAnsi="Book Antiqua"/>
          <w:spacing w:val="-4"/>
          <w:kern w:val="0"/>
          <w:sz w:val="18"/>
          <w:szCs w:val="18"/>
          <w:lang w:eastAsia="pt-BR"/>
        </w:rPr>
        <w:t xml:space="preserve"> </w:t>
      </w:r>
      <w:r>
        <w:rPr>
          <w:rFonts w:ascii="Book Antiqua" w:hAnsi="Book Antiqua"/>
          <w:kern w:val="0"/>
          <w:sz w:val="18"/>
          <w:szCs w:val="18"/>
          <w:lang w:eastAsia="pt-BR"/>
        </w:rPr>
        <w:t>10</w:t>
      </w:r>
      <w:r>
        <w:rPr>
          <w:rFonts w:ascii="Book Antiqua" w:hAnsi="Book Antiqua"/>
          <w:spacing w:val="-8"/>
          <w:kern w:val="0"/>
          <w:sz w:val="18"/>
          <w:szCs w:val="18"/>
          <w:lang w:eastAsia="pt-BR"/>
        </w:rPr>
        <w:t xml:space="preserve"> </w:t>
      </w:r>
      <w:r>
        <w:rPr>
          <w:rFonts w:ascii="Book Antiqua" w:hAnsi="Book Antiqua"/>
          <w:kern w:val="0"/>
          <w:sz w:val="18"/>
          <w:szCs w:val="18"/>
          <w:lang w:eastAsia="pt-BR"/>
        </w:rPr>
        <w:t>(dez)</w:t>
      </w:r>
      <w:r>
        <w:rPr>
          <w:rFonts w:ascii="Book Antiqua" w:hAnsi="Book Antiqua"/>
          <w:spacing w:val="-6"/>
          <w:kern w:val="0"/>
          <w:sz w:val="18"/>
          <w:szCs w:val="18"/>
          <w:lang w:eastAsia="pt-BR"/>
        </w:rPr>
        <w:t xml:space="preserve"> </w:t>
      </w:r>
      <w:r>
        <w:rPr>
          <w:rFonts w:ascii="Book Antiqua" w:hAnsi="Book Antiqua"/>
          <w:kern w:val="0"/>
          <w:sz w:val="18"/>
          <w:szCs w:val="18"/>
          <w:lang w:eastAsia="pt-BR"/>
        </w:rPr>
        <w:t>dias</w:t>
      </w:r>
      <w:r>
        <w:rPr>
          <w:rFonts w:ascii="Book Antiqua" w:hAnsi="Book Antiqua"/>
          <w:spacing w:val="-6"/>
          <w:kern w:val="0"/>
          <w:sz w:val="18"/>
          <w:szCs w:val="18"/>
          <w:lang w:eastAsia="pt-BR"/>
        </w:rPr>
        <w:t xml:space="preserve"> </w:t>
      </w:r>
      <w:r>
        <w:rPr>
          <w:rFonts w:ascii="Book Antiqua" w:hAnsi="Book Antiqua"/>
          <w:kern w:val="0"/>
          <w:sz w:val="18"/>
          <w:szCs w:val="18"/>
          <w:lang w:eastAsia="pt-BR"/>
        </w:rPr>
        <w:t>úteis</w:t>
      </w:r>
      <w:r>
        <w:rPr>
          <w:rFonts w:ascii="Book Antiqua" w:hAnsi="Book Antiqua"/>
          <w:spacing w:val="-6"/>
          <w:kern w:val="0"/>
          <w:sz w:val="18"/>
          <w:szCs w:val="18"/>
          <w:lang w:eastAsia="pt-BR"/>
        </w:rPr>
        <w:t xml:space="preserve"> </w:t>
      </w:r>
      <w:r>
        <w:rPr>
          <w:rFonts w:ascii="Book Antiqua" w:hAnsi="Book Antiqua"/>
          <w:kern w:val="0"/>
          <w:sz w:val="18"/>
          <w:szCs w:val="18"/>
          <w:lang w:eastAsia="pt-BR"/>
        </w:rPr>
        <w:t>contados</w:t>
      </w:r>
      <w:r>
        <w:rPr>
          <w:rFonts w:ascii="Book Antiqua" w:hAnsi="Book Antiqua"/>
          <w:spacing w:val="-6"/>
          <w:kern w:val="0"/>
          <w:sz w:val="18"/>
          <w:szCs w:val="18"/>
          <w:lang w:eastAsia="pt-BR"/>
        </w:rPr>
        <w:t xml:space="preserve"> </w:t>
      </w:r>
      <w:r>
        <w:rPr>
          <w:rFonts w:ascii="Book Antiqua" w:hAnsi="Book Antiqua"/>
          <w:kern w:val="0"/>
          <w:sz w:val="18"/>
          <w:szCs w:val="18"/>
          <w:lang w:eastAsia="pt-BR"/>
        </w:rPr>
        <w:t>da</w:t>
      </w:r>
      <w:r>
        <w:rPr>
          <w:rFonts w:ascii="Book Antiqua" w:hAnsi="Book Antiqua"/>
          <w:spacing w:val="-6"/>
          <w:kern w:val="0"/>
          <w:sz w:val="18"/>
          <w:szCs w:val="18"/>
          <w:lang w:eastAsia="pt-BR"/>
        </w:rPr>
        <w:t xml:space="preserve"> </w:t>
      </w:r>
      <w:r>
        <w:rPr>
          <w:rFonts w:ascii="Book Antiqua" w:hAnsi="Book Antiqua"/>
          <w:kern w:val="0"/>
          <w:sz w:val="18"/>
          <w:szCs w:val="18"/>
          <w:lang w:eastAsia="pt-BR"/>
        </w:rPr>
        <w:t>convocação para assinatura do contrato, podendo ser prestada em uma das modalidades previstas no art. 96 da Lei nº 14.133, de 1º de abril de 2021</w:t>
      </w:r>
    </w:p>
    <w:p>
      <w:pPr>
        <w:pStyle w:val="Normal"/>
        <w:suppressAutoHyphens w:val="false"/>
        <w:spacing w:lineRule="auto" w:line="276" w:beforeAutospacing="1" w:afterAutospacing="1"/>
        <w:ind w:left="142" w:right="153" w:hanging="0"/>
        <w:jc w:val="both"/>
        <w:rPr>
          <w:rFonts w:ascii="Book Antiqua" w:hAnsi="Book Antiqua"/>
          <w:kern w:val="0"/>
          <w:sz w:val="18"/>
          <w:szCs w:val="18"/>
          <w:lang w:eastAsia="pt-BR"/>
        </w:rPr>
      </w:pPr>
      <w:r>
        <w:rPr>
          <w:rFonts w:ascii="Book Antiqua" w:hAnsi="Book Antiqua"/>
          <w:kern w:val="0"/>
          <w:sz w:val="18"/>
          <w:szCs w:val="18"/>
          <w:lang w:eastAsia="pt-BR"/>
        </w:rPr>
        <w:t>I -</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caução</w:t>
      </w:r>
      <w:r>
        <w:rPr>
          <w:rFonts w:ascii="Book Antiqua" w:hAnsi="Book Antiqua"/>
          <w:spacing w:val="-12"/>
          <w:kern w:val="0"/>
          <w:sz w:val="18"/>
          <w:szCs w:val="18"/>
          <w:lang w:eastAsia="pt-BR"/>
        </w:rPr>
        <w:t xml:space="preserve"> </w:t>
      </w:r>
      <w:r>
        <w:rPr>
          <w:rFonts w:ascii="Book Antiqua" w:hAnsi="Book Antiqua"/>
          <w:kern w:val="0"/>
          <w:sz w:val="18"/>
          <w:szCs w:val="18"/>
          <w:lang w:eastAsia="pt-BR"/>
        </w:rPr>
        <w:t>em</w:t>
      </w:r>
      <w:r>
        <w:rPr>
          <w:rFonts w:ascii="Book Antiqua" w:hAnsi="Book Antiqua"/>
          <w:spacing w:val="-10"/>
          <w:kern w:val="0"/>
          <w:sz w:val="18"/>
          <w:szCs w:val="18"/>
          <w:lang w:eastAsia="pt-BR"/>
        </w:rPr>
        <w:t xml:space="preserve"> </w:t>
      </w:r>
      <w:r>
        <w:rPr>
          <w:rFonts w:ascii="Book Antiqua" w:hAnsi="Book Antiqua"/>
          <w:kern w:val="0"/>
          <w:sz w:val="18"/>
          <w:szCs w:val="18"/>
          <w:lang w:eastAsia="pt-BR"/>
        </w:rPr>
        <w:t>dinheiro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ou</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em</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títulos</w:t>
      </w:r>
      <w:r>
        <w:rPr>
          <w:rFonts w:ascii="Book Antiqua" w:hAnsi="Book Antiqua"/>
          <w:spacing w:val="-12"/>
          <w:kern w:val="0"/>
          <w:sz w:val="18"/>
          <w:szCs w:val="18"/>
          <w:lang w:eastAsia="pt-BR"/>
        </w:rPr>
        <w:t xml:space="preserve"> </w:t>
      </w:r>
      <w:r>
        <w:rPr>
          <w:rFonts w:ascii="Book Antiqua" w:hAnsi="Book Antiqua"/>
          <w:kern w:val="0"/>
          <w:sz w:val="18"/>
          <w:szCs w:val="18"/>
          <w:lang w:eastAsia="pt-BR"/>
        </w:rPr>
        <w:t>da</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dívida</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pública</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emitidos</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sob</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a</w:t>
      </w:r>
      <w:r>
        <w:rPr>
          <w:rFonts w:ascii="Book Antiqua" w:hAnsi="Book Antiqua"/>
          <w:spacing w:val="-12"/>
          <w:kern w:val="0"/>
          <w:sz w:val="18"/>
          <w:szCs w:val="18"/>
          <w:lang w:eastAsia="pt-BR"/>
        </w:rPr>
        <w:t xml:space="preserve"> </w:t>
      </w:r>
      <w:r>
        <w:rPr>
          <w:rFonts w:ascii="Book Antiqua" w:hAnsi="Book Antiqua"/>
          <w:kern w:val="0"/>
          <w:sz w:val="18"/>
          <w:szCs w:val="18"/>
          <w:lang w:eastAsia="pt-BR"/>
        </w:rPr>
        <w:t>forma</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escritural,</w:t>
      </w:r>
      <w:r>
        <w:rPr>
          <w:rFonts w:ascii="Book Antiqua" w:hAnsi="Book Antiqua"/>
          <w:spacing w:val="-12"/>
          <w:kern w:val="0"/>
          <w:sz w:val="18"/>
          <w:szCs w:val="18"/>
          <w:lang w:eastAsia="pt-BR"/>
        </w:rPr>
        <w:t xml:space="preserve"> </w:t>
      </w:r>
      <w:r>
        <w:rPr>
          <w:rFonts w:ascii="Book Antiqua" w:hAnsi="Book Antiqua"/>
          <w:kern w:val="0"/>
          <w:sz w:val="18"/>
          <w:szCs w:val="18"/>
          <w:lang w:eastAsia="pt-BR"/>
        </w:rPr>
        <w:t>mediante</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registro em sistema centralizado de liquidação e de custódia autorizado pelo Banco Central do Brasil, e avaliados por seus valores econômicos, conforme definido pelo Ministério da Economia;</w:t>
      </w:r>
    </w:p>
    <w:p>
      <w:pPr>
        <w:pStyle w:val="Normal"/>
        <w:suppressAutoHyphens w:val="false"/>
        <w:spacing w:lineRule="atLeast" w:line="249" w:beforeAutospacing="1" w:afterAutospacing="1"/>
        <w:ind w:left="142" w:hanging="0"/>
        <w:jc w:val="both"/>
        <w:rPr>
          <w:rFonts w:ascii="Book Antiqua" w:hAnsi="Book Antiqua"/>
          <w:kern w:val="0"/>
          <w:sz w:val="18"/>
          <w:szCs w:val="18"/>
          <w:lang w:eastAsia="pt-BR"/>
        </w:rPr>
      </w:pPr>
      <w:r>
        <w:rPr>
          <w:rFonts w:ascii="Book Antiqua" w:hAnsi="Book Antiqua"/>
          <w:kern w:val="0"/>
          <w:sz w:val="18"/>
          <w:szCs w:val="18"/>
          <w:lang w:eastAsia="pt-BR"/>
        </w:rPr>
        <w:t>II-</w:t>
      </w:r>
      <w:r>
        <w:rPr>
          <w:rFonts w:ascii="Book Antiqua" w:hAnsi="Book Antiqua"/>
          <w:spacing w:val="-4"/>
          <w:kern w:val="0"/>
          <w:sz w:val="18"/>
          <w:szCs w:val="18"/>
          <w:lang w:eastAsia="pt-BR"/>
        </w:rPr>
        <w:t xml:space="preserve"> </w:t>
      </w:r>
      <w:r>
        <w:rPr>
          <w:rFonts w:ascii="Book Antiqua" w:hAnsi="Book Antiqua"/>
          <w:kern w:val="0"/>
          <w:sz w:val="18"/>
          <w:szCs w:val="18"/>
          <w:lang w:eastAsia="pt-BR"/>
        </w:rPr>
        <w:t>seguro-</w:t>
      </w:r>
      <w:r>
        <w:rPr>
          <w:rFonts w:ascii="Book Antiqua" w:hAnsi="Book Antiqua"/>
          <w:spacing w:val="-2"/>
          <w:kern w:val="0"/>
          <w:sz w:val="18"/>
          <w:szCs w:val="18"/>
          <w:lang w:eastAsia="pt-BR"/>
        </w:rPr>
        <w:t>garantia;</w:t>
      </w:r>
    </w:p>
    <w:p>
      <w:pPr>
        <w:pStyle w:val="Normal"/>
        <w:suppressAutoHyphens w:val="false"/>
        <w:spacing w:lineRule="auto" w:line="276" w:before="40" w:afterAutospacing="1"/>
        <w:ind w:left="142" w:right="153" w:hanging="0"/>
        <w:jc w:val="both"/>
        <w:rPr>
          <w:rFonts w:ascii="Book Antiqua" w:hAnsi="Book Antiqua"/>
          <w:kern w:val="0"/>
          <w:sz w:val="18"/>
          <w:szCs w:val="18"/>
          <w:lang w:eastAsia="pt-BR"/>
        </w:rPr>
      </w:pPr>
      <w:r>
        <w:rPr>
          <w:rFonts w:ascii="Book Antiqua" w:hAnsi="Book Antiqua"/>
          <w:kern w:val="0"/>
          <w:sz w:val="18"/>
          <w:szCs w:val="18"/>
          <w:lang w:eastAsia="pt-BR"/>
        </w:rPr>
        <w:t>III- fiança bancária emitida por banco ou instituição financeira devidamente autorizada a operar no País pelo Banco Central do Brasil.</w:t>
      </w:r>
    </w:p>
    <w:p>
      <w:pPr>
        <w:pStyle w:val="Normal"/>
        <w:suppressAutoHyphens w:val="false"/>
        <w:spacing w:lineRule="auto" w:line="276" w:beforeAutospacing="1" w:afterAutospacing="1"/>
        <w:ind w:left="142" w:right="147" w:hanging="0"/>
        <w:jc w:val="both"/>
        <w:rPr>
          <w:rFonts w:ascii="Book Antiqua" w:hAnsi="Book Antiqua"/>
          <w:kern w:val="0"/>
          <w:sz w:val="18"/>
          <w:szCs w:val="18"/>
          <w:lang w:eastAsia="pt-BR"/>
        </w:rPr>
      </w:pPr>
      <w:r>
        <w:rPr>
          <w:rFonts w:ascii="Book Antiqua" w:hAnsi="Book Antiqua"/>
          <w:kern w:val="0"/>
          <w:sz w:val="18"/>
          <w:szCs w:val="18"/>
          <w:lang w:eastAsia="pt-BR"/>
        </w:rPr>
        <w:t>IV- título de</w:t>
      </w:r>
      <w:r>
        <w:rPr>
          <w:rFonts w:ascii="Book Antiqua" w:hAnsi="Book Antiqua"/>
          <w:spacing w:val="-2"/>
          <w:kern w:val="0"/>
          <w:sz w:val="18"/>
          <w:szCs w:val="18"/>
          <w:lang w:eastAsia="pt-BR"/>
        </w:rPr>
        <w:t xml:space="preserve"> </w:t>
      </w:r>
      <w:r>
        <w:rPr>
          <w:rFonts w:ascii="Book Antiqua" w:hAnsi="Book Antiqua"/>
          <w:kern w:val="0"/>
          <w:sz w:val="18"/>
          <w:szCs w:val="18"/>
          <w:lang w:eastAsia="pt-BR"/>
        </w:rPr>
        <w:t>capitalização custeado por</w:t>
      </w:r>
      <w:r>
        <w:rPr>
          <w:rFonts w:ascii="Book Antiqua" w:hAnsi="Book Antiqua"/>
          <w:spacing w:val="-2"/>
          <w:kern w:val="0"/>
          <w:sz w:val="18"/>
          <w:szCs w:val="18"/>
          <w:lang w:eastAsia="pt-BR"/>
        </w:rPr>
        <w:t xml:space="preserve"> </w:t>
      </w:r>
      <w:r>
        <w:rPr>
          <w:rFonts w:ascii="Book Antiqua" w:hAnsi="Book Antiqua"/>
          <w:kern w:val="0"/>
          <w:sz w:val="18"/>
          <w:szCs w:val="18"/>
          <w:lang w:eastAsia="pt-BR"/>
        </w:rPr>
        <w:t>pagamento</w:t>
      </w:r>
      <w:r>
        <w:rPr>
          <w:rFonts w:ascii="Book Antiqua" w:hAnsi="Book Antiqua"/>
          <w:spacing w:val="-2"/>
          <w:kern w:val="0"/>
          <w:sz w:val="18"/>
          <w:szCs w:val="18"/>
          <w:lang w:eastAsia="pt-BR"/>
        </w:rPr>
        <w:t xml:space="preserve"> </w:t>
      </w:r>
      <w:r>
        <w:rPr>
          <w:rFonts w:ascii="Book Antiqua" w:hAnsi="Book Antiqua"/>
          <w:kern w:val="0"/>
          <w:sz w:val="18"/>
          <w:szCs w:val="18"/>
          <w:lang w:eastAsia="pt-BR"/>
        </w:rPr>
        <w:t>único, com</w:t>
      </w:r>
      <w:r>
        <w:rPr>
          <w:rFonts w:ascii="Book Antiqua" w:hAnsi="Book Antiqua"/>
          <w:spacing w:val="-2"/>
          <w:kern w:val="0"/>
          <w:sz w:val="18"/>
          <w:szCs w:val="18"/>
          <w:lang w:eastAsia="pt-BR"/>
        </w:rPr>
        <w:t xml:space="preserve"> </w:t>
      </w:r>
      <w:r>
        <w:rPr>
          <w:rFonts w:ascii="Book Antiqua" w:hAnsi="Book Antiqua"/>
          <w:kern w:val="0"/>
          <w:sz w:val="18"/>
          <w:szCs w:val="18"/>
          <w:lang w:eastAsia="pt-BR"/>
        </w:rPr>
        <w:t>resgate</w:t>
      </w:r>
      <w:r>
        <w:rPr>
          <w:rFonts w:ascii="Book Antiqua" w:hAnsi="Book Antiqua"/>
          <w:spacing w:val="-2"/>
          <w:kern w:val="0"/>
          <w:sz w:val="18"/>
          <w:szCs w:val="18"/>
          <w:lang w:eastAsia="pt-BR"/>
        </w:rPr>
        <w:t xml:space="preserve"> </w:t>
      </w:r>
      <w:r>
        <w:rPr>
          <w:rFonts w:ascii="Book Antiqua" w:hAnsi="Book Antiqua"/>
          <w:kern w:val="0"/>
          <w:sz w:val="18"/>
          <w:szCs w:val="18"/>
          <w:lang w:eastAsia="pt-BR"/>
        </w:rPr>
        <w:t>pelo valor</w:t>
      </w:r>
      <w:r>
        <w:rPr>
          <w:rFonts w:ascii="Book Antiqua" w:hAnsi="Book Antiqua"/>
          <w:spacing w:val="-2"/>
          <w:kern w:val="0"/>
          <w:sz w:val="18"/>
          <w:szCs w:val="18"/>
          <w:lang w:eastAsia="pt-BR"/>
        </w:rPr>
        <w:t xml:space="preserve"> </w:t>
      </w:r>
      <w:r>
        <w:rPr>
          <w:rFonts w:ascii="Book Antiqua" w:hAnsi="Book Antiqua"/>
          <w:kern w:val="0"/>
          <w:sz w:val="18"/>
          <w:szCs w:val="18"/>
          <w:lang w:eastAsia="pt-BR"/>
        </w:rPr>
        <w:t>total.</w:t>
      </w:r>
      <w:r>
        <w:rPr>
          <w:rFonts w:ascii="Book Antiqua" w:hAnsi="Book Antiqua"/>
          <w:spacing w:val="-2"/>
          <w:kern w:val="0"/>
          <w:sz w:val="18"/>
          <w:szCs w:val="18"/>
          <w:lang w:eastAsia="pt-BR"/>
        </w:rPr>
        <w:t xml:space="preserve"> </w:t>
      </w:r>
      <w:r>
        <w:rPr>
          <w:rFonts w:ascii="Book Antiqua" w:hAnsi="Book Antiqua"/>
          <w:kern w:val="0"/>
          <w:sz w:val="18"/>
          <w:szCs w:val="18"/>
          <w:lang w:eastAsia="pt-BR"/>
        </w:rPr>
        <w:t>(Incluído pela Lei nº 14.770, de 2023)</w:t>
      </w:r>
    </w:p>
    <w:p>
      <w:pPr>
        <w:pStyle w:val="Normal"/>
        <w:suppressAutoHyphens w:val="false"/>
        <w:spacing w:before="34" w:afterAutospacing="1"/>
        <w:jc w:val="both"/>
        <w:rPr>
          <w:rFonts w:ascii="Book Antiqua" w:hAnsi="Book Antiqua"/>
          <w:vanish/>
          <w:kern w:val="0"/>
          <w:sz w:val="18"/>
          <w:szCs w:val="18"/>
          <w:lang w:val="pt-PT" w:eastAsia="pt-BR"/>
        </w:rPr>
      </w:pPr>
      <w:r>
        <w:rPr>
          <w:rFonts w:ascii="Book Antiqua" w:hAnsi="Book Antiqua"/>
          <w:vanish/>
          <w:kern w:val="0"/>
          <w:sz w:val="18"/>
          <w:szCs w:val="18"/>
          <w:lang w:val="pt-PT" w:eastAsia="pt-BR"/>
        </w:rPr>
      </w:r>
    </w:p>
    <w:p>
      <w:pPr>
        <w:pStyle w:val="Normal"/>
        <w:suppressAutoHyphens w:val="false"/>
        <w:spacing w:lineRule="auto" w:line="276" w:beforeAutospacing="1" w:afterAutospacing="1"/>
        <w:ind w:right="147" w:hanging="0"/>
        <w:jc w:val="both"/>
        <w:rPr>
          <w:rFonts w:ascii="Book Antiqua" w:hAnsi="Book Antiqua" w:cs="Arial"/>
          <w:kern w:val="0"/>
          <w:sz w:val="18"/>
          <w:szCs w:val="18"/>
          <w:lang w:eastAsia="pt-BR"/>
        </w:rPr>
      </w:pPr>
      <w:r>
        <w:rPr>
          <w:rFonts w:ascii="Book Antiqua" w:hAnsi="Book Antiqua"/>
          <w:kern w:val="0"/>
          <w:sz w:val="18"/>
          <w:szCs w:val="18"/>
          <w:lang w:eastAsia="pt-BR"/>
        </w:rPr>
        <w:t>22.2.5 A garantia</w:t>
      </w:r>
      <w:r>
        <w:rPr>
          <w:rFonts w:ascii="Book Antiqua" w:hAnsi="Book Antiqua"/>
          <w:spacing w:val="-2"/>
          <w:kern w:val="0"/>
          <w:sz w:val="18"/>
          <w:szCs w:val="18"/>
          <w:lang w:eastAsia="pt-BR"/>
        </w:rPr>
        <w:t xml:space="preserve"> </w:t>
      </w:r>
      <w:r>
        <w:rPr>
          <w:rFonts w:ascii="Book Antiqua" w:hAnsi="Book Antiqua"/>
          <w:kern w:val="0"/>
          <w:sz w:val="18"/>
          <w:szCs w:val="18"/>
          <w:lang w:eastAsia="pt-BR"/>
        </w:rPr>
        <w:t>adicional soma-se às</w:t>
      </w:r>
      <w:r>
        <w:rPr>
          <w:rFonts w:ascii="Book Antiqua" w:hAnsi="Book Antiqua"/>
          <w:spacing w:val="-2"/>
          <w:kern w:val="0"/>
          <w:sz w:val="18"/>
          <w:szCs w:val="18"/>
          <w:lang w:eastAsia="pt-BR"/>
        </w:rPr>
        <w:t xml:space="preserve"> </w:t>
      </w:r>
      <w:r>
        <w:rPr>
          <w:rFonts w:ascii="Book Antiqua" w:hAnsi="Book Antiqua"/>
          <w:kern w:val="0"/>
          <w:sz w:val="18"/>
          <w:szCs w:val="18"/>
          <w:lang w:eastAsia="pt-BR"/>
        </w:rPr>
        <w:t>demais garantias contratuais exigidas, não as substituindo, e</w:t>
      </w:r>
      <w:r>
        <w:rPr>
          <w:rFonts w:ascii="Book Antiqua" w:hAnsi="Book Antiqua"/>
          <w:spacing w:val="-2"/>
          <w:kern w:val="0"/>
          <w:sz w:val="18"/>
          <w:szCs w:val="18"/>
          <w:lang w:eastAsia="pt-BR"/>
        </w:rPr>
        <w:t xml:space="preserve"> </w:t>
      </w:r>
      <w:r>
        <w:rPr>
          <w:rFonts w:ascii="Book Antiqua" w:hAnsi="Book Antiqua"/>
          <w:kern w:val="0"/>
          <w:sz w:val="18"/>
          <w:szCs w:val="18"/>
          <w:lang w:eastAsia="pt-BR"/>
        </w:rPr>
        <w:t>terá</w:t>
      </w:r>
      <w:r>
        <w:rPr>
          <w:rFonts w:ascii="Book Antiqua" w:hAnsi="Book Antiqua"/>
          <w:spacing w:val="-2"/>
          <w:kern w:val="0"/>
          <w:sz w:val="18"/>
          <w:szCs w:val="18"/>
          <w:lang w:eastAsia="pt-BR"/>
        </w:rPr>
        <w:t xml:space="preserve"> </w:t>
      </w:r>
      <w:r>
        <w:rPr>
          <w:rFonts w:ascii="Book Antiqua" w:hAnsi="Book Antiqua"/>
          <w:kern w:val="0"/>
          <w:sz w:val="18"/>
          <w:szCs w:val="18"/>
          <w:lang w:eastAsia="pt-BR"/>
        </w:rPr>
        <w:t>as mesmas condições e prazo de vigência das demais garantias prestadas.</w:t>
      </w:r>
    </w:p>
    <w:p>
      <w:pPr>
        <w:pStyle w:val="Normal"/>
        <w:suppressAutoHyphens w:val="false"/>
        <w:spacing w:before="34" w:afterAutospacing="1"/>
        <w:jc w:val="both"/>
        <w:rPr>
          <w:rFonts w:ascii="Book Antiqua" w:hAnsi="Book Antiqua"/>
          <w:vanish/>
          <w:kern w:val="0"/>
          <w:sz w:val="18"/>
          <w:szCs w:val="18"/>
          <w:lang w:val="pt-PT" w:eastAsia="pt-BR"/>
        </w:rPr>
      </w:pPr>
      <w:r>
        <w:rPr>
          <w:rFonts w:ascii="Book Antiqua" w:hAnsi="Book Antiqua"/>
          <w:vanish/>
          <w:kern w:val="0"/>
          <w:sz w:val="18"/>
          <w:szCs w:val="18"/>
          <w:lang w:val="pt-PT" w:eastAsia="pt-BR"/>
        </w:rPr>
      </w:r>
    </w:p>
    <w:p>
      <w:pPr>
        <w:pStyle w:val="Normal"/>
        <w:suppressAutoHyphens w:val="false"/>
        <w:spacing w:lineRule="auto" w:line="276" w:beforeAutospacing="1" w:afterAutospacing="1"/>
        <w:ind w:right="153" w:hanging="0"/>
        <w:jc w:val="both"/>
        <w:rPr>
          <w:rFonts w:ascii="Book Antiqua" w:hAnsi="Book Antiqua" w:cs="Arial"/>
          <w:kern w:val="0"/>
          <w:sz w:val="18"/>
          <w:szCs w:val="18"/>
          <w:lang w:eastAsia="pt-BR"/>
        </w:rPr>
      </w:pPr>
      <w:r>
        <w:rPr>
          <w:rFonts w:ascii="Book Antiqua" w:hAnsi="Book Antiqua"/>
          <w:kern w:val="0"/>
          <w:sz w:val="18"/>
          <w:szCs w:val="18"/>
          <w:lang w:eastAsia="pt-BR"/>
        </w:rPr>
        <w:t>22.2.6 A garantia adicional será liberada ou</w:t>
      </w:r>
      <w:r>
        <w:rPr>
          <w:rFonts w:ascii="Book Antiqua" w:hAnsi="Book Antiqua"/>
          <w:spacing w:val="-2"/>
          <w:kern w:val="0"/>
          <w:sz w:val="18"/>
          <w:szCs w:val="18"/>
          <w:lang w:eastAsia="pt-BR"/>
        </w:rPr>
        <w:t xml:space="preserve"> </w:t>
      </w:r>
      <w:r>
        <w:rPr>
          <w:rFonts w:ascii="Book Antiqua" w:hAnsi="Book Antiqua"/>
          <w:kern w:val="0"/>
          <w:sz w:val="18"/>
          <w:szCs w:val="18"/>
          <w:lang w:eastAsia="pt-BR"/>
        </w:rPr>
        <w:t>restituída nas mesmas condições estabelecidas para a</w:t>
      </w:r>
      <w:r>
        <w:rPr>
          <w:rFonts w:ascii="Book Antiqua" w:hAnsi="Book Antiqua"/>
          <w:spacing w:val="-2"/>
          <w:kern w:val="0"/>
          <w:sz w:val="18"/>
          <w:szCs w:val="18"/>
          <w:lang w:eastAsia="pt-BR"/>
        </w:rPr>
        <w:t xml:space="preserve"> </w:t>
      </w:r>
      <w:r>
        <w:rPr>
          <w:rFonts w:ascii="Book Antiqua" w:hAnsi="Book Antiqua"/>
          <w:kern w:val="0"/>
          <w:sz w:val="18"/>
          <w:szCs w:val="18"/>
          <w:lang w:eastAsia="pt-BR"/>
        </w:rPr>
        <w:t>garantia de execução contratual, após o cumprimento integral de todas as obrigações contratuais.</w:t>
      </w:r>
    </w:p>
    <w:p>
      <w:pPr>
        <w:pStyle w:val="Normal"/>
        <w:suppressAutoHyphens w:val="false"/>
        <w:spacing w:before="40" w:afterAutospacing="1"/>
        <w:jc w:val="both"/>
        <w:rPr>
          <w:rFonts w:ascii="Book Antiqua" w:hAnsi="Book Antiqua"/>
          <w:vanish/>
          <w:kern w:val="0"/>
          <w:sz w:val="18"/>
          <w:szCs w:val="18"/>
          <w:lang w:val="pt-PT" w:eastAsia="pt-BR"/>
        </w:rPr>
      </w:pPr>
      <w:r>
        <w:rPr>
          <w:rFonts w:ascii="Book Antiqua" w:hAnsi="Book Antiqua"/>
          <w:vanish/>
          <w:kern w:val="0"/>
          <w:sz w:val="18"/>
          <w:szCs w:val="18"/>
          <w:lang w:val="pt-PT" w:eastAsia="pt-BR"/>
        </w:rPr>
      </w:r>
    </w:p>
    <w:p>
      <w:pPr>
        <w:pStyle w:val="Normal"/>
        <w:suppressAutoHyphens w:val="false"/>
        <w:spacing w:lineRule="auto" w:line="276" w:beforeAutospacing="1" w:afterAutospacing="1"/>
        <w:ind w:right="147" w:hanging="0"/>
        <w:jc w:val="both"/>
        <w:rPr>
          <w:rFonts w:ascii="Book Antiqua" w:hAnsi="Book Antiqua" w:cs="Arial"/>
          <w:kern w:val="0"/>
          <w:sz w:val="18"/>
          <w:szCs w:val="18"/>
          <w:lang w:eastAsia="pt-BR"/>
        </w:rPr>
      </w:pPr>
      <w:r>
        <w:rPr>
          <w:rFonts w:ascii="Book Antiqua" w:hAnsi="Book Antiqua"/>
          <w:kern w:val="0"/>
          <w:sz w:val="18"/>
          <w:szCs w:val="18"/>
          <w:lang w:eastAsia="pt-BR"/>
        </w:rPr>
        <w:t>22.2.7 A exigência da garantia adicional independe de previsão específica no edital, constituindo obrigação legal automática sempre</w:t>
      </w:r>
      <w:r>
        <w:rPr>
          <w:rFonts w:ascii="Book Antiqua" w:hAnsi="Book Antiqua"/>
          <w:spacing w:val="-2"/>
          <w:kern w:val="0"/>
          <w:sz w:val="18"/>
          <w:szCs w:val="18"/>
          <w:lang w:eastAsia="pt-BR"/>
        </w:rPr>
        <w:t xml:space="preserve"> </w:t>
      </w:r>
      <w:r>
        <w:rPr>
          <w:rFonts w:ascii="Book Antiqua" w:hAnsi="Book Antiqua"/>
          <w:kern w:val="0"/>
          <w:sz w:val="18"/>
          <w:szCs w:val="18"/>
          <w:lang w:eastAsia="pt-BR"/>
        </w:rPr>
        <w:t>que verificada a condição prevista no art. 59, §5º da Lei nº 14.133, de 1º de abril de 2021.</w:t>
      </w:r>
    </w:p>
    <w:p>
      <w:pPr>
        <w:pStyle w:val="Normal"/>
        <w:suppressAutoHyphens w:val="false"/>
        <w:spacing w:before="40" w:afterAutospacing="1"/>
        <w:jc w:val="both"/>
        <w:rPr>
          <w:rFonts w:ascii="Book Antiqua" w:hAnsi="Book Antiqua"/>
          <w:vanish/>
          <w:kern w:val="0"/>
          <w:sz w:val="18"/>
          <w:szCs w:val="18"/>
          <w:lang w:val="pt-PT" w:eastAsia="pt-BR"/>
        </w:rPr>
      </w:pPr>
      <w:r>
        <w:rPr>
          <w:rFonts w:ascii="Book Antiqua" w:hAnsi="Book Antiqua"/>
          <w:vanish/>
          <w:kern w:val="0"/>
          <w:sz w:val="18"/>
          <w:szCs w:val="18"/>
          <w:lang w:val="pt-PT" w:eastAsia="pt-BR"/>
        </w:rPr>
      </w:r>
    </w:p>
    <w:p>
      <w:pPr>
        <w:pStyle w:val="Normal"/>
        <w:suppressAutoHyphens w:val="false"/>
        <w:spacing w:lineRule="auto" w:line="276" w:beforeAutospacing="1" w:afterAutospacing="1"/>
        <w:ind w:right="147" w:hanging="0"/>
        <w:jc w:val="both"/>
        <w:rPr>
          <w:rFonts w:ascii="Book Antiqua" w:hAnsi="Book Antiqua" w:cs="Arial"/>
          <w:kern w:val="0"/>
          <w:sz w:val="18"/>
          <w:szCs w:val="18"/>
          <w:lang w:eastAsia="pt-BR"/>
        </w:rPr>
      </w:pPr>
      <w:r>
        <w:rPr>
          <w:rFonts w:ascii="Book Antiqua" w:hAnsi="Book Antiqua"/>
          <w:kern w:val="0"/>
          <w:sz w:val="18"/>
          <w:szCs w:val="18"/>
          <w:lang w:eastAsia="pt-BR"/>
        </w:rPr>
        <w:t>22.2.8 O não cumprimento da obrigação de apresentar a garantia adicional no prazo estabelecido implicará na</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aplicação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das</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sanções</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previstas</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em</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lei</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e</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poderá</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ensejar</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a</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rescisão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do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contrato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por</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descumprimento de obrigação contratual.</w:t>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23. DA CELEBRAÇÃO DO AJUSTE</w:t>
      </w:r>
    </w:p>
    <w:p>
      <w:pPr>
        <w:pStyle w:val="Corpodetexto22"/>
        <w:rPr>
          <w:rFonts w:ascii="Book Antiqua" w:hAnsi="Book Antiqua" w:cs="Book Antiqua"/>
          <w:b/>
          <w:b/>
          <w:sz w:val="18"/>
          <w:szCs w:val="18"/>
        </w:rPr>
      </w:pPr>
      <w:r>
        <w:rPr>
          <w:rFonts w:cs="Book Antiqua" w:ascii="Book Antiqua" w:hAnsi="Book Antiqua"/>
          <w:b/>
          <w:sz w:val="18"/>
          <w:szCs w:val="18"/>
        </w:rPr>
      </w:r>
    </w:p>
    <w:p>
      <w:pPr>
        <w:pStyle w:val="Corpodetexto22"/>
        <w:rPr>
          <w:rFonts w:ascii="Book Antiqua" w:hAnsi="Book Antiqua" w:cs="Book Antiqua"/>
          <w:sz w:val="18"/>
          <w:szCs w:val="18"/>
        </w:rPr>
      </w:pPr>
      <w:r>
        <w:rPr>
          <w:rFonts w:cs="Book Antiqua" w:ascii="Book Antiqua" w:hAnsi="Book Antiqua"/>
          <w:sz w:val="18"/>
          <w:szCs w:val="18"/>
        </w:rPr>
        <w:t>23.1 – Homologada a licitação pela autoridade competente da Prefeitura, a empresa licitante vencedora do certame será convocada oficialmente para, no prazo máximo de 05 (cinco) dias úteis, a contar da data do recebimento da convocação, assinar o Contrato, sob pena de decair o direito à contratação, conforme preceitua o artigo 90 da Lei nº 14.133 de 2021.</w:t>
      </w:r>
    </w:p>
    <w:p>
      <w:pPr>
        <w:pStyle w:val="Corpodetexto22"/>
        <w:rPr>
          <w:rFonts w:ascii="Book Antiqua" w:hAnsi="Book Antiqua" w:cs="Book Antiqua"/>
          <w:sz w:val="18"/>
          <w:szCs w:val="18"/>
        </w:rPr>
      </w:pPr>
      <w:r>
        <w:rPr>
          <w:rFonts w:cs="Book Antiqua" w:ascii="Book Antiqua" w:hAnsi="Book Antiqua"/>
          <w:sz w:val="18"/>
          <w:szCs w:val="18"/>
        </w:rPr>
      </w:r>
    </w:p>
    <w:p>
      <w:pPr>
        <w:pStyle w:val="Corpodetexto22"/>
        <w:rPr>
          <w:rFonts w:ascii="Book Antiqua" w:hAnsi="Book Antiqua" w:cs="Book Antiqua"/>
          <w:sz w:val="18"/>
          <w:szCs w:val="18"/>
        </w:rPr>
      </w:pPr>
      <w:r>
        <w:rPr>
          <w:rFonts w:cs="Book Antiqua" w:ascii="Book Antiqua" w:hAnsi="Book Antiqua"/>
          <w:sz w:val="18"/>
          <w:szCs w:val="18"/>
        </w:rPr>
        <w:t>23.2 – Conforme estabelece o parágrafo segundo do art. 90 da Lei nº 14.133 de 2021, se a licitante vencedora se recusar a assinar o contrato, injustificadamente, será convocado outro licitante, observada a ordem de classificação, para celebrar o contrato, e assim sucessivamente, sem prejuízo da aplicação das sanções cabíveis, observado o disposto no art. 156 da Lei nº 14.133 de 2021.</w:t>
      </w:r>
    </w:p>
    <w:p>
      <w:pPr>
        <w:pStyle w:val="Corpodetexto22"/>
        <w:rPr>
          <w:rFonts w:ascii="Book Antiqua" w:hAnsi="Book Antiqua" w:cs="Book Antiqua"/>
          <w:sz w:val="18"/>
          <w:szCs w:val="18"/>
        </w:rPr>
      </w:pPr>
      <w:r>
        <w:rPr>
          <w:rFonts w:cs="Book Antiqua" w:ascii="Book Antiqua" w:hAnsi="Book Antiqua"/>
          <w:sz w:val="18"/>
          <w:szCs w:val="18"/>
        </w:rPr>
      </w:r>
    </w:p>
    <w:p>
      <w:pPr>
        <w:pStyle w:val="Corpodetexto22"/>
        <w:rPr>
          <w:rFonts w:ascii="Book Antiqua" w:hAnsi="Book Antiqua" w:cs="Book Antiqua"/>
          <w:sz w:val="18"/>
          <w:szCs w:val="18"/>
        </w:rPr>
      </w:pPr>
      <w:r>
        <w:rPr>
          <w:rFonts w:cs="Book Antiqua" w:ascii="Book Antiqua" w:hAnsi="Book Antiqua"/>
          <w:sz w:val="18"/>
          <w:szCs w:val="18"/>
        </w:rPr>
        <w:t>22.3 Conforme estabelece o parágrafo terceiro do art. 52 da Lei nº 14.133 de 2021, as condições equivalentes de pagamento entre empresas brasileiras e estrangeiras, no caso de licitações internacionais.</w:t>
      </w:r>
    </w:p>
    <w:p>
      <w:pPr>
        <w:pStyle w:val="Corpodetexto22"/>
        <w:rPr>
          <w:rFonts w:ascii="Book Antiqua" w:hAnsi="Book Antiqua" w:cs="Book Antiqua"/>
          <w:sz w:val="18"/>
          <w:szCs w:val="18"/>
        </w:rPr>
      </w:pPr>
      <w:r>
        <w:rPr>
          <w:rFonts w:cs="Book Antiqua" w:ascii="Book Antiqua" w:hAnsi="Book Antiqua"/>
          <w:sz w:val="18"/>
          <w:szCs w:val="18"/>
        </w:rPr>
      </w:r>
    </w:p>
    <w:p>
      <w:pPr>
        <w:pStyle w:val="Normal"/>
        <w:widowControl w:val="false"/>
        <w:tabs>
          <w:tab w:val="clear" w:pos="708"/>
          <w:tab w:val="left" w:pos="0" w:leader="none"/>
          <w:tab w:val="left" w:pos="567" w:leader="none"/>
        </w:tabs>
        <w:jc w:val="both"/>
        <w:rPr>
          <w:rFonts w:ascii="Book Antiqua" w:hAnsi="Book Antiqua" w:cs="Book Antiqua"/>
          <w:sz w:val="18"/>
          <w:szCs w:val="18"/>
        </w:rPr>
      </w:pPr>
      <w:r>
        <w:rPr>
          <w:rFonts w:cs="Book Antiqua" w:ascii="Book Antiqua" w:hAnsi="Book Antiqua"/>
          <w:sz w:val="18"/>
          <w:szCs w:val="18"/>
        </w:rPr>
        <w:t>23.4 O critério de aceitabilidade dos preços unitários e global, conforme o caso, permitida a fixação de preços máximos e vedados a fixação de preços mínimos, critérios estatísticos ou faixas de variação em relação a preços de referência, ressalvado o disposto no §1º e §2 do art. 59.</w:t>
      </w:r>
    </w:p>
    <w:p>
      <w:pPr>
        <w:pStyle w:val="Normal"/>
        <w:widowControl w:val="false"/>
        <w:tabs>
          <w:tab w:val="clear" w:pos="708"/>
          <w:tab w:val="left" w:pos="0" w:leader="none"/>
          <w:tab w:val="left" w:pos="567" w:leader="none"/>
        </w:tabs>
        <w:jc w:val="both"/>
        <w:rPr>
          <w:rFonts w:ascii="Book Antiqua" w:hAnsi="Book Antiqua" w:cs="Book Antiqua"/>
          <w:sz w:val="18"/>
          <w:szCs w:val="18"/>
        </w:rPr>
      </w:pPr>
      <w:r>
        <w:rPr>
          <w:rFonts w:cs="Book Antiqua" w:ascii="Book Antiqua" w:hAnsi="Book Antiqua"/>
          <w:sz w:val="18"/>
          <w:szCs w:val="18"/>
        </w:rPr>
      </w:r>
    </w:p>
    <w:p>
      <w:pPr>
        <w:pStyle w:val="Normal"/>
        <w:widowControl w:val="false"/>
        <w:tabs>
          <w:tab w:val="clear" w:pos="708"/>
          <w:tab w:val="left" w:pos="0" w:leader="none"/>
          <w:tab w:val="left" w:pos="567" w:leader="none"/>
        </w:tabs>
        <w:jc w:val="both"/>
        <w:rPr>
          <w:rFonts w:ascii="Book Antiqua" w:hAnsi="Book Antiqua" w:cs="Book Antiqua"/>
          <w:sz w:val="18"/>
          <w:szCs w:val="18"/>
        </w:rPr>
      </w:pPr>
      <w:r>
        <w:rPr>
          <w:rFonts w:cs="Book Antiqua"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24. DA VIGÊNCIA DO CONTRATO E EXECUÇÃO</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24.1 </w:t>
      </w:r>
      <w:r>
        <w:rPr>
          <w:rFonts w:ascii="Book Antiqua" w:hAnsi="Book Antiqua"/>
          <w:bCs/>
          <w:sz w:val="18"/>
          <w:szCs w:val="18"/>
        </w:rPr>
        <w:t xml:space="preserve">O prazo de execução da obra será de 08 (oito) meses, contados da assinatura do contrato. </w:t>
      </w:r>
    </w:p>
    <w:p>
      <w:pPr>
        <w:pStyle w:val="Normal"/>
        <w:jc w:val="both"/>
        <w:rPr>
          <w:rFonts w:ascii="Book Antiqua" w:hAnsi="Book Antiqua"/>
          <w:bCs/>
          <w:sz w:val="18"/>
          <w:szCs w:val="18"/>
        </w:rPr>
      </w:pPr>
      <w:r>
        <w:rPr>
          <w:rFonts w:ascii="Book Antiqua" w:hAnsi="Book Antiqua"/>
          <w:bCs/>
          <w:sz w:val="18"/>
          <w:szCs w:val="18"/>
        </w:rPr>
      </w:r>
    </w:p>
    <w:p>
      <w:pPr>
        <w:pStyle w:val="Normal"/>
        <w:jc w:val="both"/>
        <w:rPr/>
      </w:pPr>
      <w:r>
        <w:rPr>
          <w:rFonts w:ascii="Book Antiqua" w:hAnsi="Book Antiqua"/>
          <w:sz w:val="18"/>
          <w:szCs w:val="18"/>
        </w:rPr>
        <w:t>24.2 – O prazo de vigência do contrato será de 11 (onze) meses, contados da assinatura do instrumento contratual, nos termos do Projeto Básico, admitida sua prorrogação nos termos do capítulo V da lei 14.133 de 2021, mediante termo aditivo/apostilamento, persistindo as obrigações necessárias, especialmente as decorrentes de correção de defeitos.</w:t>
      </w:r>
    </w:p>
    <w:p>
      <w:pPr>
        <w:pStyle w:val="Normal"/>
        <w:jc w:val="both"/>
        <w:rPr>
          <w:rFonts w:ascii="Book Antiqua" w:hAnsi="Book Antiqua"/>
          <w:sz w:val="18"/>
          <w:szCs w:val="18"/>
        </w:rPr>
      </w:pPr>
      <w:r>
        <w:rPr>
          <w:rFonts w:ascii="Book Antiqua" w:hAnsi="Book Antiqua"/>
          <w:sz w:val="18"/>
          <w:szCs w:val="18"/>
        </w:rPr>
      </w:r>
    </w:p>
    <w:p>
      <w:pPr>
        <w:pStyle w:val="Normal"/>
        <w:jc w:val="both"/>
        <w:rPr>
          <w:rFonts w:ascii="Book Antiqua" w:hAnsi="Book Antiqua"/>
          <w:sz w:val="18"/>
          <w:szCs w:val="18"/>
        </w:rPr>
      </w:pPr>
      <w:r>
        <w:rPr>
          <w:rFonts w:ascii="Book Antiqua" w:hAnsi="Book Antiqua"/>
          <w:sz w:val="18"/>
          <w:szCs w:val="18"/>
        </w:rPr>
        <w:t>24.3 – As aplicações de penalidades elencadas no item 15 desde edital, não estão limitadas ao prazo de vigência do contrato.</w:t>
      </w:r>
    </w:p>
    <w:p>
      <w:pPr>
        <w:pStyle w:val="Normal"/>
        <w:jc w:val="both"/>
        <w:rPr>
          <w:rFonts w:ascii="Book Antiqua" w:hAnsi="Book Antiqua"/>
          <w:sz w:val="18"/>
          <w:szCs w:val="18"/>
        </w:rPr>
      </w:pPr>
      <w:r>
        <w:rPr>
          <w:rFonts w:ascii="Book Antiqua" w:hAnsi="Book Antiqua"/>
          <w:sz w:val="18"/>
          <w:szCs w:val="18"/>
        </w:rPr>
      </w:r>
    </w:p>
    <w:p>
      <w:pPr>
        <w:pStyle w:val="Normal"/>
        <w:jc w:val="both"/>
        <w:rPr/>
      </w:pPr>
      <w:r>
        <w:rPr>
          <w:rFonts w:ascii="Book Antiqua" w:hAnsi="Book Antiqua"/>
          <w:sz w:val="18"/>
          <w:szCs w:val="18"/>
        </w:rPr>
        <w:t xml:space="preserve">24.4 Em virtude de fatores alheios aos instruídos neste </w:t>
      </w:r>
      <w:r>
        <w:rPr/>
        <w:t>Projeto Básico,</w:t>
      </w:r>
      <w:r>
        <w:rPr>
          <w:rFonts w:ascii="Book Antiqua" w:hAnsi="Book Antiqua"/>
          <w:sz w:val="18"/>
          <w:szCs w:val="18"/>
        </w:rPr>
        <w:t xml:space="preserve"> o contrato posteriormente firmado poderá ser rescindido ou ter segmentos, sem direito a qualquer tipo de reivindicação pela empresa contratada e sem qualquer ônus para o município de Rondonópolis-MT.</w:t>
      </w:r>
    </w:p>
    <w:p>
      <w:pPr>
        <w:pStyle w:val="Normal"/>
        <w:jc w:val="both"/>
        <w:rPr>
          <w:rFonts w:ascii="Book Antiqua" w:hAnsi="Book Antiqua"/>
          <w:sz w:val="18"/>
          <w:szCs w:val="18"/>
        </w:rPr>
      </w:pPr>
      <w:r>
        <w:rPr>
          <w:rFonts w:ascii="Book Antiqua" w:hAnsi="Book Antiqua"/>
          <w:sz w:val="18"/>
          <w:szCs w:val="18"/>
        </w:rPr>
      </w:r>
    </w:p>
    <w:p>
      <w:pPr>
        <w:pStyle w:val="Corpodetexto22"/>
        <w:pBdr>
          <w:top w:val="single" w:sz="4" w:space="1" w:color="000000"/>
          <w:left w:val="single" w:sz="4" w:space="4" w:color="000000"/>
          <w:bottom w:val="single" w:sz="4" w:space="1" w:color="000000"/>
          <w:right w:val="single" w:sz="4" w:space="4" w:color="000000"/>
        </w:pBdr>
        <w:shd w:val="clear" w:color="auto" w:fill="D9D9D9"/>
        <w:jc w:val="center"/>
        <w:rPr>
          <w:rFonts w:ascii="Book Antiqua" w:hAnsi="Book Antiqua" w:cs="Book Antiqua"/>
          <w:b/>
          <w:b/>
          <w:sz w:val="18"/>
          <w:szCs w:val="18"/>
        </w:rPr>
      </w:pPr>
      <w:r>
        <w:rPr>
          <w:rFonts w:cs="Book Antiqua" w:ascii="Book Antiqua" w:hAnsi="Book Antiqua"/>
          <w:b/>
          <w:sz w:val="18"/>
          <w:szCs w:val="18"/>
        </w:rPr>
        <w:t>25. RECEBIMENTO DO OBJETO</w:t>
      </w:r>
    </w:p>
    <w:p>
      <w:pPr>
        <w:pStyle w:val="Normal"/>
        <w:tabs>
          <w:tab w:val="clear" w:pos="708"/>
          <w:tab w:val="left" w:pos="709" w:leader="none"/>
          <w:tab w:val="left" w:pos="851" w:leader="none"/>
        </w:tabs>
        <w:jc w:val="both"/>
        <w:rPr>
          <w:rFonts w:ascii="Book Antiqua" w:hAnsi="Book Antiqua" w:cs="Book Antiqua"/>
          <w:b/>
          <w:b/>
          <w:bCs/>
          <w:sz w:val="18"/>
          <w:szCs w:val="18"/>
        </w:rPr>
      </w:pPr>
      <w:r>
        <w:rPr>
          <w:rFonts w:cs="Book Antiqua" w:ascii="Book Antiqua" w:hAnsi="Book Antiqua"/>
          <w:b/>
          <w:bCs/>
          <w:sz w:val="18"/>
          <w:szCs w:val="18"/>
        </w:rPr>
      </w:r>
    </w:p>
    <w:p>
      <w:pPr>
        <w:pStyle w:val="Normal"/>
        <w:tabs>
          <w:tab w:val="clear" w:pos="708"/>
          <w:tab w:val="left" w:pos="709" w:leader="none"/>
          <w:tab w:val="left" w:pos="851" w:leader="none"/>
        </w:tabs>
        <w:jc w:val="both"/>
        <w:rPr/>
      </w:pPr>
      <w:r>
        <w:rPr>
          <w:rFonts w:cs="Book Antiqua" w:ascii="Book Antiqua" w:hAnsi="Book Antiqua"/>
          <w:bCs/>
          <w:sz w:val="18"/>
          <w:szCs w:val="18"/>
        </w:rPr>
        <w:t>25.1</w:t>
      </w:r>
      <w:r>
        <w:rPr>
          <w:rFonts w:cs="Book Antiqua" w:ascii="Book Antiqua" w:hAnsi="Book Antiqua"/>
          <w:b/>
          <w:bCs/>
          <w:sz w:val="18"/>
          <w:szCs w:val="18"/>
        </w:rPr>
        <w:t xml:space="preserve"> </w:t>
      </w:r>
      <w:r>
        <w:rPr>
          <w:rFonts w:cs="Book Antiqua" w:ascii="Book Antiqua" w:hAnsi="Book Antiqua"/>
          <w:sz w:val="18"/>
          <w:szCs w:val="18"/>
        </w:rPr>
        <w:t>Executado o Contrato, o serviço será recebido através de Termo Provisório e após, o Termo Definitivo;</w:t>
      </w:r>
    </w:p>
    <w:p>
      <w:pPr>
        <w:pStyle w:val="Normal"/>
        <w:tabs>
          <w:tab w:val="clear" w:pos="708"/>
          <w:tab w:val="left" w:pos="567" w:leader="none"/>
        </w:tabs>
        <w:jc w:val="both"/>
        <w:rPr>
          <w:rFonts w:ascii="Book Antiqua" w:hAnsi="Book Antiqua" w:cs="Book Antiqua"/>
          <w:sz w:val="18"/>
          <w:szCs w:val="18"/>
        </w:rPr>
      </w:pPr>
      <w:r>
        <w:rPr>
          <w:rFonts w:cs="Book Antiqua" w:ascii="Book Antiqua" w:hAnsi="Book Antiqua"/>
          <w:sz w:val="18"/>
          <w:szCs w:val="18"/>
        </w:rPr>
      </w:r>
    </w:p>
    <w:p>
      <w:pPr>
        <w:pStyle w:val="BodyText2"/>
        <w:rPr/>
      </w:pPr>
      <w:r>
        <w:rPr>
          <w:rFonts w:cs="Book Antiqua" w:ascii="Book Antiqua" w:hAnsi="Book Antiqua"/>
          <w:sz w:val="18"/>
          <w:szCs w:val="18"/>
        </w:rPr>
        <w:t xml:space="preserve">25.2 Provisoriamente pelo Responsável por seu Acompanhamento e Fiscalização, mediante termo circunstanciado em até 15 dias do comunicado escrito da </w:t>
      </w:r>
      <w:r>
        <w:rPr>
          <w:rFonts w:cs="Book Antiqua" w:ascii="Book Antiqua" w:hAnsi="Book Antiqua"/>
          <w:bCs/>
          <w:sz w:val="18"/>
          <w:szCs w:val="18"/>
        </w:rPr>
        <w:t>CONTRATADA</w:t>
      </w:r>
      <w:r>
        <w:rPr>
          <w:rFonts w:cs="Book Antiqua" w:ascii="Book Antiqua" w:hAnsi="Book Antiqua"/>
          <w:sz w:val="18"/>
          <w:szCs w:val="18"/>
        </w:rPr>
        <w:t>;</w:t>
      </w:r>
    </w:p>
    <w:p>
      <w:pPr>
        <w:pStyle w:val="BodyText2"/>
        <w:rPr>
          <w:rFonts w:ascii="Book Antiqua" w:hAnsi="Book Antiqua" w:cs="Book Antiqua"/>
          <w:sz w:val="18"/>
          <w:szCs w:val="18"/>
        </w:rPr>
      </w:pPr>
      <w:r>
        <w:rPr>
          <w:rFonts w:cs="Book Antiqua" w:ascii="Book Antiqua" w:hAnsi="Book Antiqua"/>
          <w:sz w:val="18"/>
          <w:szCs w:val="18"/>
        </w:rPr>
      </w:r>
    </w:p>
    <w:p>
      <w:pPr>
        <w:pStyle w:val="BodyText2"/>
        <w:rPr/>
      </w:pPr>
      <w:r>
        <w:rPr>
          <w:rFonts w:cs="Book Antiqua" w:ascii="Book Antiqua" w:hAnsi="Book Antiqua"/>
          <w:sz w:val="18"/>
          <w:szCs w:val="18"/>
        </w:rPr>
        <w:t xml:space="preserve">26.3 Definitivamente pela </w:t>
      </w:r>
      <w:r>
        <w:rPr>
          <w:rFonts w:cs="Book Antiqua" w:ascii="Book Antiqua" w:hAnsi="Book Antiqua"/>
          <w:bCs/>
          <w:sz w:val="18"/>
          <w:szCs w:val="18"/>
        </w:rPr>
        <w:t>Secretaria Municipal de Infraestrutura</w:t>
      </w:r>
      <w:r>
        <w:rPr>
          <w:rFonts w:cs="Book Antiqua" w:ascii="Book Antiqua" w:hAnsi="Book Antiqua"/>
          <w:sz w:val="18"/>
          <w:szCs w:val="18"/>
        </w:rPr>
        <w:t>, mediante termo circunstanciado assinado pelas partes, após terem os serviços sidos examinados e julgados em perfeitas condições técnicas, dentro do prazo de 90 (noventa) dias, contados do Recebimento Provisório; e,</w:t>
      </w:r>
    </w:p>
    <w:p>
      <w:pPr>
        <w:pStyle w:val="BodyText2"/>
        <w:rPr>
          <w:rFonts w:ascii="Book Antiqua" w:hAnsi="Book Antiqua" w:cs="Book Antiqua"/>
          <w:sz w:val="18"/>
          <w:szCs w:val="18"/>
        </w:rPr>
      </w:pPr>
      <w:r>
        <w:rPr>
          <w:rFonts w:cs="Book Antiqua" w:ascii="Book Antiqua" w:hAnsi="Book Antiqua"/>
          <w:sz w:val="18"/>
          <w:szCs w:val="18"/>
        </w:rPr>
      </w:r>
    </w:p>
    <w:p>
      <w:pPr>
        <w:pStyle w:val="BodyText2"/>
        <w:rPr>
          <w:rFonts w:ascii="Book Antiqua" w:hAnsi="Book Antiqua" w:cs="Book Antiqua"/>
          <w:sz w:val="18"/>
          <w:szCs w:val="18"/>
        </w:rPr>
      </w:pPr>
      <w:r>
        <w:rPr>
          <w:rFonts w:cs="Book Antiqua" w:ascii="Book Antiqua" w:hAnsi="Book Antiqua"/>
          <w:sz w:val="18"/>
          <w:szCs w:val="18"/>
        </w:rPr>
        <w:t>26.4 O Recebimento Provisório ou Definitivo não exclui a responsabilidade civil pela solidez e segurança do serviço, podendo ocorrer solicitações para correções de defeitos de execução que surgirem dentro dos limites de prazo de garantia estabelecidos pela Lei.</w:t>
      </w:r>
    </w:p>
    <w:p>
      <w:pPr>
        <w:pStyle w:val="Corpodetexto22"/>
        <w:rPr>
          <w:rFonts w:ascii="Book Antiqua" w:hAnsi="Book Antiqua" w:cs="Book Antiqua"/>
          <w:sz w:val="18"/>
          <w:szCs w:val="18"/>
        </w:rPr>
      </w:pPr>
      <w:r>
        <w:rPr>
          <w:rFonts w:cs="Book Antiqua" w:ascii="Book Antiqua" w:hAnsi="Book Antiqua"/>
          <w:sz w:val="18"/>
          <w:szCs w:val="18"/>
        </w:rPr>
      </w:r>
    </w:p>
    <w:p>
      <w:pPr>
        <w:pStyle w:val="Corpodetexto22"/>
        <w:rPr/>
      </w:pPr>
      <w:r>
        <w:rPr>
          <w:rFonts w:cs="Book Antiqua" w:ascii="Book Antiqua" w:hAnsi="Book Antiqua"/>
          <w:sz w:val="18"/>
          <w:szCs w:val="18"/>
        </w:rPr>
        <w:t>26.5 Outras obrigações, relacionadas ao recebimento do abjeto, estão definidas no Estudo Técnico Preliminar – ETP,  Projeto Básico  e na minuta de contrato constante do ANEXO IX deste Edital.</w:t>
      </w:r>
    </w:p>
    <w:p>
      <w:pPr>
        <w:pStyle w:val="Corpodetexto22"/>
        <w:rPr>
          <w:rFonts w:ascii="Book Antiqua" w:hAnsi="Book Antiqua" w:cs="Book Antiqua"/>
          <w:sz w:val="18"/>
          <w:szCs w:val="18"/>
        </w:rPr>
      </w:pPr>
      <w:r>
        <w:rPr>
          <w:rFonts w:cs="Book Antiqua" w:ascii="Book Antiqua" w:hAnsi="Book Antiqua"/>
          <w:sz w:val="18"/>
          <w:szCs w:val="18"/>
        </w:rPr>
      </w:r>
    </w:p>
    <w:p>
      <w:pPr>
        <w:pStyle w:val="Corpodetexto22"/>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26. DAS DISPOSIÇÕES GERAIS</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26.1 – As licitantes deverão observar atentamente as normas deste Edital;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26.2 – Fica assegurado à autoridade superior da Prefeitura, no interesse da Administração, o direito de adiar a data da abertura sessão, divulgando a nova data marcada.</w:t>
      </w:r>
    </w:p>
    <w:p>
      <w:pPr>
        <w:pStyle w:val="Corpodotextorecuado"/>
        <w:ind w:hanging="0"/>
        <w:rPr>
          <w:rFonts w:ascii="Book Antiqua" w:hAnsi="Book Antiqua" w:cs="Book Antiqua"/>
          <w:sz w:val="18"/>
          <w:szCs w:val="18"/>
        </w:rPr>
      </w:pPr>
      <w:r>
        <w:rPr>
          <w:rFonts w:cs="Book Antiqua" w:ascii="Book Antiqua" w:hAnsi="Book Antiqua"/>
          <w:sz w:val="18"/>
          <w:szCs w:val="18"/>
        </w:rPr>
      </w:r>
    </w:p>
    <w:p>
      <w:pPr>
        <w:pStyle w:val="Corpodotextorecuado"/>
        <w:ind w:hanging="0"/>
        <w:rPr/>
      </w:pPr>
      <w:r>
        <w:rPr>
          <w:rFonts w:cs="Book Antiqua" w:ascii="Book Antiqua" w:hAnsi="Book Antiqua"/>
          <w:sz w:val="18"/>
          <w:szCs w:val="18"/>
        </w:rPr>
        <w:t xml:space="preserve">26.3 – É facultada ao </w:t>
      </w:r>
      <w:r>
        <w:rPr>
          <w:rStyle w:val="Manoel"/>
          <w:rFonts w:cs="Book Antiqua" w:ascii="Book Antiqua" w:hAnsi="Book Antiqua"/>
          <w:color w:val="000000"/>
          <w:sz w:val="18"/>
          <w:szCs w:val="18"/>
        </w:rPr>
        <w:t>Agente de Contratação</w:t>
      </w:r>
      <w:r>
        <w:rPr>
          <w:rFonts w:cs="Book Antiqua" w:ascii="Book Antiqua" w:hAnsi="Book Antiqua"/>
          <w:sz w:val="18"/>
          <w:szCs w:val="18"/>
        </w:rPr>
        <w:t>, ou à autoridade superior, em qualquer fase da licitação, a promoção de diligências destinadas a esclarecer ou a complementar a instrução do processo nos termos do Art. 64.</w:t>
      </w:r>
    </w:p>
    <w:p>
      <w:pPr>
        <w:pStyle w:val="Corpodotextorecuado"/>
        <w:ind w:hanging="0"/>
        <w:rPr>
          <w:rFonts w:ascii="Book Antiqua" w:hAnsi="Book Antiqua" w:cs="Book Antiqua"/>
          <w:sz w:val="18"/>
          <w:szCs w:val="18"/>
        </w:rPr>
      </w:pPr>
      <w:r>
        <w:rPr>
          <w:rFonts w:cs="Book Antiqua" w:ascii="Book Antiqua" w:hAnsi="Book Antiqua"/>
          <w:sz w:val="18"/>
          <w:szCs w:val="18"/>
        </w:rPr>
        <w:tab/>
        <w:t xml:space="preserve">Art. 64ºApós a entrega dos documentos para habilitação, não será permitida a substituição ou a apresentação de </w:t>
        <w:tab/>
        <w:t>novos documentos, salvo em sede de diligência, para:</w:t>
      </w:r>
    </w:p>
    <w:p>
      <w:pPr>
        <w:pStyle w:val="Corpodotextorecuado"/>
        <w:ind w:hanging="0"/>
        <w:rPr>
          <w:rFonts w:ascii="Book Antiqua" w:hAnsi="Book Antiqua" w:cs="Book Antiqua"/>
          <w:sz w:val="18"/>
          <w:szCs w:val="18"/>
        </w:rPr>
      </w:pPr>
      <w:r>
        <w:rPr>
          <w:rFonts w:cs="Book Antiqua" w:ascii="Book Antiqua" w:hAnsi="Book Antiqua"/>
          <w:sz w:val="18"/>
          <w:szCs w:val="18"/>
        </w:rPr>
        <w:tab/>
        <w:t xml:space="preserve">I – complementação de informações acerca dos documentos já apresentados pelos licitantes e desde que </w:t>
        <w:tab/>
        <w:t>necessária para apurar fatos existentes à época da abertura do certame;</w:t>
      </w:r>
    </w:p>
    <w:p>
      <w:pPr>
        <w:pStyle w:val="Corpodotextorecuado"/>
        <w:ind w:hanging="0"/>
        <w:rPr>
          <w:rFonts w:ascii="Book Antiqua" w:hAnsi="Book Antiqua" w:cs="Book Antiqua"/>
          <w:sz w:val="18"/>
          <w:szCs w:val="18"/>
        </w:rPr>
      </w:pPr>
      <w:r>
        <w:rPr>
          <w:rFonts w:cs="Book Antiqua" w:ascii="Book Antiqua" w:hAnsi="Book Antiqua"/>
          <w:sz w:val="18"/>
          <w:szCs w:val="18"/>
        </w:rPr>
        <w:tab/>
        <w:t>II – atualização de documentos cuja validade tenha expirado após a data de recebimento das propostas.</w:t>
      </w:r>
    </w:p>
    <w:p>
      <w:pPr>
        <w:pStyle w:val="Corpodotextorecuado"/>
        <w:ind w:hanging="0"/>
        <w:jc w:val="left"/>
        <w:rPr>
          <w:rFonts w:ascii="Book Antiqua" w:hAnsi="Book Antiqua" w:cs="Book Antiqua"/>
          <w:sz w:val="18"/>
          <w:szCs w:val="18"/>
        </w:rPr>
      </w:pPr>
      <w:r>
        <w:rPr>
          <w:rFonts w:cs="Book Antiqua" w:ascii="Book Antiqua" w:hAnsi="Book Antiqua"/>
          <w:sz w:val="18"/>
          <w:szCs w:val="18"/>
        </w:rPr>
      </w:r>
    </w:p>
    <w:p>
      <w:pPr>
        <w:pStyle w:val="Corpodotextorecuado"/>
        <w:ind w:hanging="0"/>
        <w:rPr/>
      </w:pPr>
      <w:r>
        <w:rPr>
          <w:rFonts w:cs="Book Antiqua" w:ascii="Book Antiqua" w:hAnsi="Book Antiqua"/>
          <w:sz w:val="18"/>
          <w:szCs w:val="18"/>
        </w:rPr>
        <w:t xml:space="preserve">§ 1º Na análise dos documentos de habilitação, o </w:t>
      </w:r>
      <w:r>
        <w:rPr>
          <w:rStyle w:val="Manoel"/>
          <w:rFonts w:cs="Book Antiqua" w:ascii="Book Antiqua" w:hAnsi="Book Antiqua"/>
          <w:color w:val="000000"/>
          <w:sz w:val="18"/>
          <w:szCs w:val="18"/>
        </w:rPr>
        <w:t>Agente de Contratação</w:t>
      </w:r>
      <w:r>
        <w:rPr>
          <w:rFonts w:cs="Book Antiqua" w:ascii="Book Antiqua" w:hAnsi="Book Antiqua"/>
          <w:sz w:val="18"/>
          <w:szCs w:val="18"/>
        </w:rPr>
        <w:t xml:space="preserve"> poderá sanar erros ou falhas que não alterem a substância dos documentos e sua validade jurídica, mediante despacho fundamentado registrado e acessível a todos, atribuindo-lhes eficácia para fins de habilitação e classificação.</w:t>
      </w:r>
    </w:p>
    <w:p>
      <w:pPr>
        <w:pStyle w:val="Corpodotextorecuado"/>
        <w:ind w:hanging="0"/>
        <w:rPr/>
      </w:pPr>
      <w:r>
        <w:rPr/>
      </w:r>
    </w:p>
    <w:p>
      <w:pPr>
        <w:pStyle w:val="Corpodotextorecuado"/>
        <w:ind w:hanging="0"/>
        <w:rPr/>
      </w:pPr>
      <w:r>
        <w:rPr>
          <w:rFonts w:cs="Book Antiqua" w:ascii="Book Antiqua" w:hAnsi="Book Antiqua"/>
          <w:sz w:val="18"/>
          <w:szCs w:val="18"/>
          <w:shd w:fill="FFFF00" w:val="clear"/>
        </w:rPr>
        <w:t>26.4 – O resultado desta licitação, será publicado nos mesmos veículos de publicidade que se deu o aviso desta licitação, ou seja, no sítio eletrônico do Portal Nacional de Contratações Públicas – PNCP, no site da Prefeitura Municipal de Rondonópolis, Diário Oficial da União, Diário de Contas (TCE), Diário Município de Rondonópolis, jornal de circulação estadual “ESTADÃO” e jornal de circulação local/regional “A TRIBUNA”.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26.5 – A autoridade superior deverá anular o certame diante de constatada ilegalidade.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26.6 – Os licitantes assumem todos os custos de preparação e apresentação de suas propostas. A Prefeitura não será, em nenhum caso, responsável por esses custos, independentemente da condução ou resultado do processo licitatório.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26.7 – Os proponentes são responsáveis pela fidelidade e legitimidade das informações e dos documentos apresentados em qualquer fase da licitação.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26.8 – Após apresentação da proposta, não caberá desistência, salvo por motivo justo decorrente de fato superveniente e aceito pelo </w:t>
      </w:r>
      <w:r>
        <w:rPr>
          <w:rStyle w:val="Manoel"/>
          <w:rFonts w:cs="Book Antiqua" w:ascii="Book Antiqua" w:hAnsi="Book Antiqua"/>
          <w:color w:val="000000"/>
          <w:sz w:val="18"/>
          <w:szCs w:val="18"/>
        </w:rPr>
        <w:t>Agente de Contratação</w:t>
      </w:r>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26.9 – 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do </w:t>
      </w:r>
      <w:r>
        <w:rPr>
          <w:rStyle w:val="Manoel"/>
          <w:rFonts w:cs="Book Antiqua" w:ascii="Book Antiqua" w:hAnsi="Book Antiqua"/>
          <w:color w:val="000000"/>
          <w:sz w:val="18"/>
          <w:szCs w:val="18"/>
        </w:rPr>
        <w:t>Agente de Contratação</w:t>
      </w:r>
      <w:r>
        <w:rPr>
          <w:rFonts w:cs="Book Antiqua" w:ascii="Book Antiqua" w:hAnsi="Book Antiqua"/>
          <w:sz w:val="18"/>
          <w:szCs w:val="18"/>
        </w:rPr>
        <w:t xml:space="preserve"> em sentido contrário.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26.10 – Na contagem dos prazos estabelecidos neste Edital e seus anexos, excluir-se-á o dia do início e incluir-se-á o de vencimento. Só se iniciam e vencem os prazos em dias de expediente na Prefeitura. Considerar-se-ão dias corridos, exceto quando for explicitamente disposto em contrário.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26.11 – O desatendimento às exigências formais não-essenciais não importará no afastamento do licitante, desde que seja possível a aferição de sua qualificação e a exata compreensão da sua proposta durante a realização da sessão pública da licitação.</w:t>
      </w:r>
    </w:p>
    <w:p>
      <w:pPr>
        <w:pStyle w:val="Corpodotextorecuado"/>
        <w:ind w:hanging="0"/>
        <w:rPr>
          <w:rFonts w:ascii="Book Antiqua" w:hAnsi="Book Antiqua" w:cs="Book Antiqua"/>
          <w:sz w:val="18"/>
          <w:szCs w:val="18"/>
        </w:rPr>
      </w:pPr>
      <w:r>
        <w:rPr>
          <w:rFonts w:cs="Book Antiqua" w:ascii="Book Antiqua" w:hAnsi="Book Antiqua"/>
          <w:sz w:val="18"/>
          <w:szCs w:val="18"/>
        </w:rPr>
      </w:r>
    </w:p>
    <w:p>
      <w:pPr>
        <w:pStyle w:val="Corpodotextorecuado"/>
        <w:ind w:hanging="0"/>
        <w:rPr>
          <w:rFonts w:ascii="Book Antiqua" w:hAnsi="Book Antiqua" w:cs="Book Antiqua"/>
          <w:sz w:val="18"/>
          <w:szCs w:val="18"/>
        </w:rPr>
      </w:pPr>
      <w:r>
        <w:rPr>
          <w:rFonts w:cs="Book Antiqua" w:ascii="Book Antiqua" w:hAnsi="Book Antiqua"/>
          <w:sz w:val="18"/>
          <w:szCs w:val="18"/>
        </w:rPr>
        <w:t>26.12 – Em caso de desfazimento deste processo licitatório, o mesmo será devidamente motivado, sendo assegurado o contraditório e a ampla defesa.</w:t>
      </w:r>
    </w:p>
    <w:p>
      <w:pPr>
        <w:pStyle w:val="Corpodotextorecuado"/>
        <w:ind w:hanging="0"/>
        <w:rPr>
          <w:rFonts w:ascii="Book Antiqua" w:hAnsi="Book Antiqua" w:cs="Book Antiqua"/>
          <w:sz w:val="18"/>
          <w:szCs w:val="18"/>
        </w:rPr>
      </w:pPr>
      <w:r>
        <w:rPr>
          <w:rFonts w:cs="Book Antiqua" w:ascii="Book Antiqua" w:hAnsi="Book Antiqua"/>
          <w:sz w:val="18"/>
          <w:szCs w:val="18"/>
        </w:rPr>
      </w:r>
    </w:p>
    <w:p>
      <w:pPr>
        <w:pStyle w:val="Corpodotextorecuado"/>
        <w:ind w:hanging="0"/>
        <w:rPr>
          <w:rFonts w:ascii="Book Antiqua" w:hAnsi="Book Antiqua" w:cs="Book Antiqua"/>
          <w:sz w:val="18"/>
          <w:szCs w:val="18"/>
        </w:rPr>
      </w:pPr>
      <w:r>
        <w:rPr>
          <w:rFonts w:cs="Book Antiqua" w:ascii="Book Antiqua" w:hAnsi="Book Antiqua"/>
          <w:sz w:val="18"/>
          <w:szCs w:val="18"/>
        </w:rPr>
        <w:t>26.13 – Decorridos 60 (sessenta) dias da data da entrega das propostas de preços, sem convocação para contratação ou pedido de prorrogação da validade, os licitantes ficarão liberados dos compromissos assumidos neste certame.</w:t>
      </w:r>
    </w:p>
    <w:p>
      <w:pPr>
        <w:pStyle w:val="Corpodotextorecuado"/>
        <w:ind w:hanging="0"/>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26.14 – Qualquer pedido de esclarecimento em relação a eventuais dúvidas na interpretação do presente Edital e seus Anexos, poderá ser enviado eletronicamente por meio da Plataforma Eletrônica constante na página eletrônica da BLL– Bolsa de Licitações e Leilões. </w:t>
      </w:r>
      <w:hyperlink r:id="rId63">
        <w:r>
          <w:rPr>
            <w:rStyle w:val="LinkdaInternet"/>
            <w:rFonts w:cs="Book Antiqua" w:ascii="Book Antiqua" w:hAnsi="Book Antiqua"/>
            <w:sz w:val="18"/>
            <w:szCs w:val="18"/>
          </w:rPr>
          <w:t>BLLCOMPRAS.COM</w:t>
        </w:r>
      </w:hyperlink>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26.15 – A homologação do resultado desta licitação gera mera expectativa de direito à contratação.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26.16 – Aos casos omissos aplicar-se-ão as disposições constantes da legislação vigente que rege a matéria.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26.17 – </w:t>
      </w:r>
      <w:r>
        <w:rPr>
          <w:rFonts w:eastAsia="SimSun;???????????????????????" w:cs="Book Antiqua" w:ascii="Book Antiqua" w:hAnsi="Book Antiqua"/>
          <w:sz w:val="18"/>
          <w:szCs w:val="18"/>
        </w:rPr>
        <w:t>Decairá do direito de pedir esclarecimentos ou impugnar os termos deste Edital aquele que não o fizer até 03 (três) dias úteis antes da data designada para a abertura da sessão</w:t>
      </w:r>
      <w:r>
        <w:rPr>
          <w:rFonts w:eastAsia="SimSun;???????????????????????" w:cs="Book Antiqua" w:ascii="Book Antiqua" w:hAnsi="Book Antiqua"/>
          <w:b/>
          <w:bCs/>
          <w:sz w:val="18"/>
          <w:szCs w:val="18"/>
        </w:rPr>
        <w:t xml:space="preserve"> </w:t>
      </w:r>
      <w:r>
        <w:rPr>
          <w:rFonts w:eastAsia="SimSun;???????????????????????" w:cs="Book Antiqua" w:ascii="Book Antiqua" w:hAnsi="Book Antiqua"/>
          <w:sz w:val="18"/>
          <w:szCs w:val="18"/>
        </w:rPr>
        <w:t xml:space="preserve">apontando de forma clara e objetiva as falhas ou irregularidades que entende viciarem o mesmo. As petições deverão ser enviadas por meio da Plataforma Eletrônica constante na página eletrônica da BLL– Bolsa de Licitações e Leilões. </w:t>
      </w:r>
      <w:hyperlink r:id="rId64">
        <w:r>
          <w:rPr>
            <w:rStyle w:val="LinkdaInternet"/>
            <w:rFonts w:eastAsia="SimSun;???????????????????????" w:cs="Book Antiqua" w:ascii="Book Antiqua" w:hAnsi="Book Antiqua"/>
            <w:sz w:val="18"/>
            <w:szCs w:val="18"/>
          </w:rPr>
          <w:t>BLLCOMPRAS.COM</w:t>
        </w:r>
      </w:hyperlink>
      <w:r>
        <w:rPr>
          <w:rFonts w:eastAsia="SimSun;???????????????????????" w:cs="Book Antiqua" w:ascii="Book Antiqua" w:hAnsi="Book Antiqua"/>
          <w:sz w:val="18"/>
          <w:szCs w:val="18"/>
        </w:rPr>
        <w:t xml:space="preserve"> que tem o prazo de 3 (três) dias uteis para respondê-las.</w:t>
      </w:r>
    </w:p>
    <w:p>
      <w:pPr>
        <w:pStyle w:val="Normal"/>
        <w:jc w:val="both"/>
        <w:rPr>
          <w:rFonts w:ascii="Book Antiqua" w:hAnsi="Book Antiqua" w:eastAsia="SimSun;???????????????????????" w:cs="Book Antiqua"/>
          <w:bCs/>
          <w:sz w:val="18"/>
          <w:szCs w:val="18"/>
        </w:rPr>
      </w:pPr>
      <w:r>
        <w:rPr>
          <w:rFonts w:eastAsia="SimSun;???????????????????????" w:cs="Book Antiqua" w:ascii="Book Antiqua" w:hAnsi="Book Antiqua"/>
          <w:bCs/>
          <w:sz w:val="18"/>
          <w:szCs w:val="18"/>
        </w:rPr>
      </w:r>
    </w:p>
    <w:p>
      <w:pPr>
        <w:pStyle w:val="Normal"/>
        <w:jc w:val="both"/>
        <w:rPr/>
      </w:pPr>
      <w:r>
        <w:rPr>
          <w:rFonts w:eastAsia="SimSun;???????????????????????" w:cs="Book Antiqua" w:ascii="Book Antiqua" w:hAnsi="Book Antiqua"/>
          <w:bCs/>
          <w:sz w:val="18"/>
          <w:szCs w:val="18"/>
        </w:rPr>
        <w:t xml:space="preserve">26.18. </w:t>
      </w:r>
      <w:r>
        <w:rPr>
          <w:rFonts w:eastAsia="SimSun;???????????????????????" w:cs="Book Antiqua" w:ascii="Book Antiqua" w:hAnsi="Book Antiqua"/>
          <w:sz w:val="18"/>
          <w:szCs w:val="18"/>
        </w:rPr>
        <w:t>Se a impugnação ao edital for reconhecida e julgada procedente, serão corrigidos os vícios e, caso a formulação da proposta seja afetada, nova data será designada para a realização do certame;</w:t>
      </w:r>
    </w:p>
    <w:p>
      <w:pPr>
        <w:pStyle w:val="Normal"/>
        <w:jc w:val="both"/>
        <w:rPr>
          <w:rFonts w:ascii="Book Antiqua" w:hAnsi="Book Antiqua" w:eastAsia="SimSun;???????????????????????" w:cs="Book Antiqua"/>
          <w:bCs/>
          <w:sz w:val="18"/>
          <w:szCs w:val="18"/>
        </w:rPr>
      </w:pPr>
      <w:r>
        <w:rPr>
          <w:rFonts w:eastAsia="SimSun;???????????????????????" w:cs="Book Antiqua" w:ascii="Book Antiqua" w:hAnsi="Book Antiqua"/>
          <w:bCs/>
          <w:sz w:val="18"/>
          <w:szCs w:val="18"/>
        </w:rPr>
      </w:r>
    </w:p>
    <w:p>
      <w:pPr>
        <w:pStyle w:val="Normal"/>
        <w:jc w:val="both"/>
        <w:rPr/>
      </w:pPr>
      <w:r>
        <w:rPr>
          <w:rFonts w:eastAsia="SimSun;???????????????????????" w:cs="Book Antiqua" w:ascii="Book Antiqua" w:hAnsi="Book Antiqua"/>
          <w:bCs/>
          <w:sz w:val="18"/>
          <w:szCs w:val="18"/>
        </w:rPr>
        <w:t xml:space="preserve">26.19. </w:t>
      </w:r>
      <w:r>
        <w:rPr>
          <w:rFonts w:eastAsia="SimSun;???????????????????????" w:cs="Book Antiqua" w:ascii="Book Antiqua" w:hAnsi="Book Antiqua"/>
          <w:sz w:val="18"/>
          <w:szCs w:val="18"/>
        </w:rPr>
        <w:t>Ocorrendo impugnação de caráter meramente protelatório, ensejando assim o retardamento da execução do certame, a autoridade competente poderá, assegurado o contraditório e a ampla defesa, aplicar a pena estabelecida no artigo 156 da Lei n. 14.133 de 2021 e legislação vigente.</w:t>
      </w:r>
    </w:p>
    <w:p>
      <w:pPr>
        <w:pStyle w:val="Normal"/>
        <w:jc w:val="both"/>
        <w:rPr>
          <w:rFonts w:ascii="Book Antiqua" w:hAnsi="Book Antiqua" w:eastAsia="SimSun;???????????????????????" w:cs="Book Antiqua"/>
          <w:bCs/>
          <w:sz w:val="18"/>
          <w:szCs w:val="18"/>
        </w:rPr>
      </w:pPr>
      <w:r>
        <w:rPr>
          <w:rFonts w:eastAsia="SimSun;???????????????????????" w:cs="Book Antiqua" w:ascii="Book Antiqua" w:hAnsi="Book Antiqua"/>
          <w:bCs/>
          <w:sz w:val="18"/>
          <w:szCs w:val="18"/>
        </w:rPr>
      </w:r>
    </w:p>
    <w:p>
      <w:pPr>
        <w:pStyle w:val="Normal"/>
        <w:jc w:val="both"/>
        <w:rPr/>
      </w:pPr>
      <w:r>
        <w:rPr>
          <w:rFonts w:eastAsia="SimSun;???????????????????????" w:cs="Book Antiqua" w:ascii="Book Antiqua" w:hAnsi="Book Antiqua"/>
          <w:bCs/>
          <w:sz w:val="18"/>
          <w:szCs w:val="18"/>
        </w:rPr>
        <w:t xml:space="preserve">26.20. </w:t>
      </w:r>
      <w:r>
        <w:rPr>
          <w:rFonts w:eastAsia="SimSun;???????????????????????" w:cs="Book Antiqua" w:ascii="Book Antiqua" w:hAnsi="Book Antiqua"/>
          <w:sz w:val="18"/>
          <w:szCs w:val="18"/>
        </w:rPr>
        <w:t>Quem impedir, perturbar ou fraudar, assegurado o contraditório e a ampla defesa, a realização de qualquer ato do procedimento licitatório, incorrerá em pena de detenção, de 6 (seis) meses a 3 (três) anos, e multa, e multa, nos termos do artigo 337-I do Código Penal Brasileiro.</w:t>
      </w:r>
    </w:p>
    <w:p>
      <w:pPr>
        <w:pStyle w:val="Normal"/>
        <w:jc w:val="both"/>
        <w:rPr>
          <w:rFonts w:ascii="Book Antiqua" w:hAnsi="Book Antiqua"/>
          <w:sz w:val="18"/>
          <w:szCs w:val="18"/>
        </w:rPr>
      </w:pPr>
      <w:r>
        <w:rPr>
          <w:rFonts w:ascii="Book Antiqua" w:hAnsi="Book Antiqua"/>
          <w:sz w:val="18"/>
          <w:szCs w:val="18"/>
        </w:rPr>
      </w:r>
    </w:p>
    <w:p>
      <w:pPr>
        <w:pStyle w:val="Normal"/>
        <w:pBdr>
          <w:top w:val="single" w:sz="4" w:space="1" w:color="000000"/>
          <w:left w:val="single" w:sz="4" w:space="4" w:color="000000"/>
          <w:bottom w:val="single" w:sz="4" w:space="1" w:color="000000"/>
          <w:right w:val="single" w:sz="4" w:space="4" w:color="000000"/>
        </w:pBdr>
        <w:shd w:val="clear" w:color="auto" w:fill="E0E0E0"/>
        <w:tabs>
          <w:tab w:val="clear" w:pos="708"/>
          <w:tab w:val="left" w:pos="3070" w:leader="none"/>
          <w:tab w:val="center" w:pos="4407" w:leader="none"/>
        </w:tabs>
        <w:jc w:val="center"/>
        <w:rPr>
          <w:rFonts w:ascii="Book Antiqua" w:hAnsi="Book Antiqua" w:cs="Book Antiqua"/>
          <w:b/>
          <w:b/>
          <w:sz w:val="18"/>
          <w:szCs w:val="18"/>
        </w:rPr>
      </w:pPr>
      <w:r>
        <w:rPr>
          <w:rFonts w:cs="Book Antiqua" w:ascii="Book Antiqua" w:hAnsi="Book Antiqua"/>
          <w:b/>
          <w:sz w:val="18"/>
          <w:szCs w:val="18"/>
        </w:rPr>
        <w:t>27. QUADRO DE ASSINATURA E APROVAÇÃO</w:t>
      </w:r>
    </w:p>
    <w:p>
      <w:pPr>
        <w:pStyle w:val="Normal"/>
        <w:jc w:val="right"/>
        <w:rPr>
          <w:rFonts w:ascii="Book Antiqua" w:hAnsi="Book Antiqua" w:cs="Book Antiqua"/>
          <w:b/>
          <w:b/>
          <w:sz w:val="18"/>
          <w:szCs w:val="18"/>
        </w:rPr>
      </w:pPr>
      <w:r>
        <w:rPr>
          <w:rFonts w:cs="Book Antiqua" w:ascii="Book Antiqua" w:hAnsi="Book Antiqua"/>
          <w:b/>
          <w:sz w:val="18"/>
          <w:szCs w:val="18"/>
        </w:rPr>
      </w:r>
    </w:p>
    <w:p>
      <w:pPr>
        <w:pStyle w:val="Normal"/>
        <w:jc w:val="right"/>
        <w:rPr>
          <w:rFonts w:ascii="Book Antiqua" w:hAnsi="Book Antiqua" w:cs="Book Antiqua"/>
          <w:b/>
          <w:b/>
          <w:sz w:val="18"/>
          <w:szCs w:val="18"/>
        </w:rPr>
      </w:pPr>
      <w:r>
        <w:rPr>
          <w:rFonts w:cs="Book Antiqua" w:ascii="Book Antiqua" w:hAnsi="Book Antiqua"/>
          <w:b/>
          <w:sz w:val="18"/>
          <w:szCs w:val="18"/>
        </w:rPr>
      </w:r>
    </w:p>
    <w:p>
      <w:pPr>
        <w:pStyle w:val="Normal"/>
        <w:jc w:val="right"/>
        <w:rPr>
          <w:rFonts w:ascii="Book Antiqua" w:hAnsi="Book Antiqua" w:cs="Book Antiqua"/>
          <w:b/>
          <w:b/>
          <w:sz w:val="18"/>
          <w:szCs w:val="18"/>
        </w:rPr>
      </w:pPr>
      <w:r>
        <w:rPr>
          <w:rFonts w:cs="Book Antiqua" w:ascii="Book Antiqua" w:hAnsi="Book Antiqua"/>
          <w:b/>
          <w:sz w:val="18"/>
          <w:szCs w:val="18"/>
        </w:rPr>
      </w:r>
    </w:p>
    <w:p>
      <w:pPr>
        <w:pStyle w:val="Normal"/>
        <w:jc w:val="right"/>
        <w:rPr>
          <w:rFonts w:ascii="Book Antiqua" w:hAnsi="Book Antiqua" w:cs="Book Antiqua"/>
          <w:b/>
          <w:b/>
          <w:sz w:val="18"/>
          <w:szCs w:val="18"/>
        </w:rPr>
      </w:pPr>
      <w:r>
        <w:rPr>
          <w:rFonts w:cs="Book Antiqua" w:ascii="Book Antiqua" w:hAnsi="Book Antiqua"/>
          <w:b/>
          <w:sz w:val="18"/>
          <w:szCs w:val="18"/>
        </w:rPr>
      </w:r>
    </w:p>
    <w:p>
      <w:pPr>
        <w:pStyle w:val="Normal"/>
        <w:jc w:val="right"/>
        <w:rPr>
          <w:rFonts w:ascii="Book Antiqua" w:hAnsi="Book Antiqua" w:cs="Book Antiqua"/>
          <w:b/>
          <w:b/>
          <w:sz w:val="18"/>
          <w:szCs w:val="18"/>
        </w:rPr>
      </w:pPr>
      <w:r>
        <w:rPr>
          <w:rFonts w:cs="Book Antiqua" w:ascii="Book Antiqua" w:hAnsi="Book Antiqua"/>
          <w:b/>
          <w:sz w:val="18"/>
          <w:szCs w:val="18"/>
        </w:rPr>
        <w:t xml:space="preserve">Rondonópolis/MT, </w:t>
      </w:r>
      <w:r>
        <w:rPr>
          <w:rFonts w:cs="Book Antiqua" w:ascii="Book Antiqua" w:hAnsi="Book Antiqua"/>
          <w:b/>
          <w:sz w:val="18"/>
          <w:szCs w:val="18"/>
        </w:rPr>
        <w:t>10</w:t>
      </w:r>
      <w:r>
        <w:rPr>
          <w:rFonts w:cs="Book Antiqua" w:ascii="Book Antiqua" w:hAnsi="Book Antiqua"/>
          <w:b/>
          <w:sz w:val="18"/>
          <w:szCs w:val="18"/>
        </w:rPr>
        <w:t xml:space="preserve"> de </w:t>
      </w:r>
      <w:r>
        <w:rPr>
          <w:rFonts w:cs="Book Antiqua" w:ascii="Book Antiqua" w:hAnsi="Book Antiqua"/>
          <w:b/>
          <w:sz w:val="18"/>
          <w:szCs w:val="18"/>
        </w:rPr>
        <w:t>julho</w:t>
      </w:r>
      <w:r>
        <w:rPr>
          <w:rFonts w:cs="Book Antiqua" w:ascii="Book Antiqua" w:hAnsi="Book Antiqua"/>
          <w:b/>
          <w:sz w:val="18"/>
          <w:szCs w:val="18"/>
        </w:rPr>
        <w:t xml:space="preserve"> de 2026</w:t>
      </w:r>
    </w:p>
    <w:p>
      <w:pPr>
        <w:pStyle w:val="Normal"/>
        <w:rPr>
          <w:rFonts w:ascii="Book Antiqua" w:hAnsi="Book Antiqua" w:cs="Book Antiqua"/>
          <w:b/>
          <w:b/>
          <w:color w:val="FF0000"/>
          <w:sz w:val="18"/>
          <w:szCs w:val="18"/>
        </w:rPr>
      </w:pPr>
      <w:r>
        <w:rPr>
          <w:rFonts w:cs="Book Antiqua" w:ascii="Book Antiqua" w:hAnsi="Book Antiqua"/>
          <w:b/>
          <w:color w:val="FF0000"/>
          <w:sz w:val="18"/>
          <w:szCs w:val="18"/>
        </w:rPr>
      </w:r>
    </w:p>
    <w:p>
      <w:pPr>
        <w:pStyle w:val="Normal"/>
        <w:rPr>
          <w:rFonts w:ascii="Book Antiqua" w:hAnsi="Book Antiqua" w:cs="Book Antiqua"/>
          <w:b/>
          <w:b/>
          <w:color w:val="FF0000"/>
          <w:sz w:val="18"/>
          <w:szCs w:val="18"/>
        </w:rPr>
      </w:pPr>
      <w:r>
        <w:rPr>
          <w:rFonts w:cs="Book Antiqua" w:ascii="Book Antiqua" w:hAnsi="Book Antiqua"/>
          <w:b/>
          <w:color w:val="FF0000"/>
          <w:sz w:val="18"/>
          <w:szCs w:val="18"/>
        </w:rPr>
      </w:r>
    </w:p>
    <w:p>
      <w:pPr>
        <w:pStyle w:val="Normal"/>
        <w:rPr>
          <w:rFonts w:ascii="Book Antiqua" w:hAnsi="Book Antiqua" w:cs="Book Antiqua"/>
          <w:b/>
          <w:b/>
          <w:color w:val="FF0000"/>
          <w:sz w:val="18"/>
          <w:szCs w:val="18"/>
        </w:rPr>
      </w:pPr>
      <w:r>
        <w:rPr>
          <w:rFonts w:cs="Book Antiqua" w:ascii="Book Antiqua" w:hAnsi="Book Antiqua"/>
          <w:b/>
          <w:color w:val="FF0000"/>
          <w:sz w:val="18"/>
          <w:szCs w:val="18"/>
        </w:rPr>
      </w:r>
    </w:p>
    <w:p>
      <w:pPr>
        <w:pStyle w:val="Standard"/>
        <w:jc w:val="center"/>
        <w:rPr>
          <w:rFonts w:ascii="Book Antiqua" w:hAnsi="Book Antiqua" w:cs="Book Antiqua"/>
          <w:b/>
          <w:b/>
          <w:bCs/>
          <w:sz w:val="18"/>
          <w:szCs w:val="18"/>
        </w:rPr>
      </w:pPr>
      <w:r>
        <w:rPr>
          <w:rFonts w:cs="Book Antiqua" w:ascii="Book Antiqua" w:hAnsi="Book Antiqua"/>
          <w:b/>
          <w:bCs/>
          <w:sz w:val="18"/>
          <w:szCs w:val="18"/>
        </w:rPr>
      </w:r>
    </w:p>
    <w:p>
      <w:pPr>
        <w:pStyle w:val="Standard"/>
        <w:jc w:val="center"/>
        <w:rPr/>
      </w:pPr>
      <w:r>
        <w:rPr>
          <w:rFonts w:cs="Book Antiqua" w:ascii="Book Antiqua" w:hAnsi="Book Antiqua"/>
          <w:b/>
          <w:bCs/>
          <w:sz w:val="18"/>
          <w:szCs w:val="18"/>
        </w:rPr>
        <w:t xml:space="preserve">RAFAELLY PRISCILA REZENDE DE ALMEIDA </w:t>
      </w:r>
    </w:p>
    <w:p>
      <w:pPr>
        <w:pStyle w:val="Standard"/>
        <w:spacing w:lineRule="auto" w:line="276"/>
        <w:jc w:val="center"/>
        <w:rPr>
          <w:rFonts w:ascii="Book Antiqua" w:hAnsi="Book Antiqua" w:cs="Book Antiqua"/>
          <w:b/>
          <w:b/>
          <w:bCs/>
          <w:sz w:val="18"/>
          <w:szCs w:val="18"/>
        </w:rPr>
      </w:pPr>
      <w:r>
        <w:rPr>
          <w:rFonts w:eastAsia="Times New Roman" w:cs="Book Antiqua" w:ascii="Book Antiqua" w:hAnsi="Book Antiqua"/>
          <w:b/>
          <w:bCs/>
          <w:sz w:val="18"/>
          <w:szCs w:val="18"/>
          <w:lang w:bidi="ar-SA"/>
        </w:rPr>
        <w:t>Superintendente de Compras e Licitação</w:t>
      </w:r>
    </w:p>
    <w:p>
      <w:pPr>
        <w:pStyle w:val="Normal"/>
        <w:spacing w:lineRule="auto" w:line="276"/>
        <w:jc w:val="both"/>
        <w:rPr>
          <w:rFonts w:ascii="Book Antiqua" w:hAnsi="Book Antiqua" w:cs="Book Antiqua"/>
          <w:b/>
          <w:b/>
          <w:bCs/>
          <w:sz w:val="18"/>
          <w:szCs w:val="18"/>
        </w:rPr>
      </w:pPr>
      <w:r>
        <w:rPr>
          <w:rFonts w:cs="Book Antiqua" w:ascii="Book Antiqua" w:hAnsi="Book Antiqua"/>
          <w:b/>
          <w:bCs/>
          <w:sz w:val="18"/>
          <w:szCs w:val="18"/>
        </w:rPr>
      </w:r>
    </w:p>
    <w:p>
      <w:pPr>
        <w:pStyle w:val="Normal"/>
        <w:spacing w:lineRule="auto" w:line="276"/>
        <w:ind w:firstLine="1418"/>
        <w:jc w:val="both"/>
        <w:rPr>
          <w:rFonts w:ascii="Book Antiqua" w:hAnsi="Book Antiqua" w:cs="Book Antiqua"/>
          <w:b/>
          <w:b/>
          <w:bCs/>
          <w:sz w:val="18"/>
          <w:szCs w:val="18"/>
        </w:rPr>
      </w:pPr>
      <w:r>
        <w:rPr>
          <w:rFonts w:cs="Book Antiqua" w:ascii="Book Antiqua" w:hAnsi="Book Antiqua"/>
          <w:b/>
          <w:bCs/>
          <w:sz w:val="18"/>
          <w:szCs w:val="18"/>
        </w:rPr>
      </w:r>
    </w:p>
    <w:p>
      <w:pPr>
        <w:pStyle w:val="Normal"/>
        <w:rPr>
          <w:rFonts w:ascii="Book Antiqua" w:hAnsi="Book Antiqua" w:cs="Book Antiqua"/>
          <w:b/>
          <w:b/>
          <w:sz w:val="18"/>
          <w:szCs w:val="18"/>
        </w:rPr>
      </w:pPr>
      <w:r>
        <w:rPr>
          <w:rFonts w:cs="Book Antiqua" w:ascii="Book Antiqua" w:hAnsi="Book Antiqua"/>
          <w:b/>
          <w:sz w:val="18"/>
          <w:szCs w:val="18"/>
        </w:rPr>
      </w:r>
      <w:r>
        <w:br w:type="page"/>
      </w:r>
    </w:p>
    <w:p>
      <w:pPr>
        <w:pStyle w:val="Normal"/>
        <w:pBdr>
          <w:top w:val="single" w:sz="4" w:space="1" w:color="000000"/>
          <w:left w:val="single" w:sz="4" w:space="4" w:color="000000"/>
          <w:bottom w:val="single" w:sz="4" w:space="1" w:color="000000"/>
          <w:right w:val="single" w:sz="4" w:space="4" w:color="000000"/>
        </w:pBdr>
        <w:shd w:val="clear" w:color="auto" w:fill="E0E0E0"/>
        <w:tabs>
          <w:tab w:val="clear" w:pos="708"/>
          <w:tab w:val="left" w:pos="3070" w:leader="none"/>
          <w:tab w:val="center" w:pos="4407" w:leader="none"/>
        </w:tabs>
        <w:jc w:val="center"/>
        <w:rPr>
          <w:rFonts w:ascii="Book Antiqua" w:hAnsi="Book Antiqua" w:cs="Book Antiqua"/>
          <w:b/>
          <w:b/>
          <w:sz w:val="18"/>
          <w:szCs w:val="18"/>
        </w:rPr>
      </w:pPr>
      <w:r>
        <w:rPr>
          <w:rFonts w:cs="Book Antiqua" w:ascii="Book Antiqua" w:hAnsi="Book Antiqua"/>
          <w:b/>
          <w:sz w:val="18"/>
          <w:szCs w:val="18"/>
        </w:rPr>
        <w:t>ANEXO I</w:t>
      </w:r>
    </w:p>
    <w:p>
      <w:pPr>
        <w:pStyle w:val="Normal"/>
        <w:rPr>
          <w:rFonts w:ascii="Book Antiqua" w:hAnsi="Book Antiqua" w:cs="Book Antiqua"/>
          <w:b/>
          <w:b/>
          <w:sz w:val="18"/>
          <w:szCs w:val="18"/>
        </w:rPr>
      </w:pPr>
      <w:r>
        <w:rPr>
          <w:rFonts w:cs="Book Antiqua" w:ascii="Book Antiqua" w:hAnsi="Book Antiqua"/>
          <w:b/>
          <w:sz w:val="18"/>
          <w:szCs w:val="18"/>
        </w:rPr>
      </w:r>
    </w:p>
    <w:p>
      <w:pPr>
        <w:pStyle w:val="Normal"/>
        <w:jc w:val="center"/>
        <w:rPr>
          <w:rFonts w:ascii="Book Antiqua" w:hAnsi="Book Antiqua" w:cs="Book Antiqua"/>
          <w:b/>
          <w:b/>
          <w:caps/>
          <w:sz w:val="18"/>
          <w:szCs w:val="18"/>
        </w:rPr>
      </w:pPr>
      <w:r>
        <w:rPr>
          <w:rFonts w:cs="Book Antiqua" w:ascii="Book Antiqua" w:hAnsi="Book Antiqua"/>
          <w:b/>
          <w:caps/>
          <w:sz w:val="18"/>
          <w:szCs w:val="18"/>
        </w:rPr>
        <w:t>Modelo de Proposta de Preços</w:t>
      </w:r>
    </w:p>
    <w:p>
      <w:pPr>
        <w:pStyle w:val="Normal"/>
        <w:jc w:val="center"/>
        <w:rPr>
          <w:rFonts w:ascii="Book Antiqua" w:hAnsi="Book Antiqua" w:cs="Book Antiqua"/>
          <w:b/>
          <w:b/>
          <w:caps/>
          <w:sz w:val="18"/>
          <w:szCs w:val="18"/>
        </w:rPr>
      </w:pPr>
      <w:r>
        <w:rPr>
          <w:rFonts w:cs="Book Antiqua" w:ascii="Book Antiqua" w:hAnsi="Book Antiqua"/>
          <w:b/>
          <w:caps/>
          <w:sz w:val="18"/>
          <w:szCs w:val="18"/>
        </w:rPr>
      </w:r>
    </w:p>
    <w:p>
      <w:pPr>
        <w:pStyle w:val="Normal"/>
        <w:jc w:val="both"/>
        <w:rPr>
          <w:rFonts w:ascii="Book Antiqua" w:hAnsi="Book Antiqua" w:cs="Book Antiqua"/>
          <w:b/>
          <w:b/>
          <w:caps/>
          <w:sz w:val="18"/>
          <w:szCs w:val="18"/>
        </w:rPr>
      </w:pPr>
      <w:r>
        <w:rPr>
          <w:rFonts w:cs="Book Antiqua" w:ascii="Book Antiqua" w:hAnsi="Book Antiqua"/>
          <w:b/>
          <w:caps/>
          <w:sz w:val="18"/>
          <w:szCs w:val="18"/>
        </w:rPr>
      </w:r>
    </w:p>
    <w:p>
      <w:pPr>
        <w:pStyle w:val="Normal"/>
        <w:jc w:val="both"/>
        <w:rPr>
          <w:rFonts w:ascii="Book Antiqua" w:hAnsi="Book Antiqua" w:cs="Book Antiqua"/>
          <w:sz w:val="18"/>
          <w:szCs w:val="18"/>
        </w:rPr>
      </w:pPr>
      <w:r>
        <w:rPr>
          <w:rFonts w:cs="Book Antiqua" w:ascii="Book Antiqua" w:hAnsi="Book Antiqua"/>
          <w:sz w:val="18"/>
          <w:szCs w:val="18"/>
        </w:rPr>
        <w:t>REFERÊNCIA:                                Licitação:</w:t>
      </w:r>
    </w:p>
    <w:p>
      <w:pPr>
        <w:pStyle w:val="Normal"/>
        <w:jc w:val="both"/>
        <w:rPr/>
      </w:pPr>
      <w:r>
        <w:rPr>
          <w:rFonts w:cs="Book Antiqua" w:ascii="Book Antiqua" w:hAnsi="Book Antiqua"/>
          <w:sz w:val="18"/>
          <w:szCs w:val="18"/>
        </w:rPr>
        <w:t xml:space="preserve">Edital N°____________________para </w:t>
      </w:r>
      <w:r>
        <w:rPr>
          <w:rFonts w:cs="Book Antiqua" w:ascii="Book Antiqua" w:hAnsi="Book Antiqua"/>
          <w:b/>
          <w:sz w:val="18"/>
          <w:szCs w:val="18"/>
        </w:rPr>
        <w:t>_________________________________________________________________,</w:t>
      </w:r>
      <w:r>
        <w:rPr>
          <w:rFonts w:cs="Book Antiqua" w:ascii="Book Antiqua" w:hAnsi="Book Antiqua"/>
          <w:sz w:val="18"/>
          <w:szCs w:val="18"/>
        </w:rPr>
        <w:t xml:space="preserve"> a ser executada na </w:t>
      </w:r>
      <w:r>
        <w:rPr>
          <w:rFonts w:cs="Book Antiqua" w:ascii="Book Antiqua" w:hAnsi="Book Antiqua"/>
          <w:b/>
          <w:color w:val="FF0000"/>
          <w:sz w:val="18"/>
          <w:szCs w:val="18"/>
        </w:rPr>
        <w:t>(inserir endereço completo do serviço/obra)</w:t>
      </w:r>
      <w:r>
        <w:rPr>
          <w:rFonts w:cs="Book Antiqua" w:ascii="Book Antiqua" w:hAnsi="Book Antiqua"/>
          <w:sz w:val="18"/>
          <w:szCs w:val="18"/>
        </w:rPr>
        <w:t>.</w:t>
      </w:r>
    </w:p>
    <w:p>
      <w:pPr>
        <w:pStyle w:val="Normal"/>
        <w:rPr>
          <w:rFonts w:ascii="Book Antiqua" w:hAnsi="Book Antiqua" w:cs="Book Antiqua"/>
          <w:sz w:val="18"/>
          <w:szCs w:val="18"/>
        </w:rPr>
      </w:pPr>
      <w:r>
        <w:rPr>
          <w:rFonts w:cs="Book Antiqua" w:ascii="Book Antiqua" w:hAnsi="Book Antiqua"/>
          <w:sz w:val="18"/>
          <w:szCs w:val="18"/>
        </w:rPr>
        <w:t>Prezados Senhores:</w:t>
      </w:r>
    </w:p>
    <w:p>
      <w:pPr>
        <w:pStyle w:val="Normal"/>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Nosso preço global para o fornecimento de material e execução das obras/serviços para a Construção acima mencionada é de R$ _________________</w:t>
      </w:r>
      <w:r>
        <w:rPr>
          <w:rFonts w:cs="Book Antiqua" w:ascii="Book Antiqua" w:hAnsi="Book Antiqua"/>
          <w:sz w:val="18"/>
          <w:szCs w:val="18"/>
          <w:u w:val="single"/>
        </w:rPr>
        <w:t>(</w:t>
      </w:r>
      <w:r>
        <w:rPr>
          <w:rFonts w:cs="Book Antiqua" w:ascii="Book Antiqua" w:hAnsi="Book Antiqua"/>
          <w:sz w:val="18"/>
          <w:szCs w:val="18"/>
        </w:rPr>
        <w:t xml:space="preserve">________________________________________________________) e será executada inteiramente de acordo com o Estudo Técnico Preliminar - ETP, Projeto Básico </w:t>
      </w:r>
      <w:r>
        <w:rPr>
          <w:rFonts w:ascii="Book Antiqua" w:hAnsi="Book Antiqua"/>
          <w:sz w:val="18"/>
          <w:szCs w:val="18"/>
        </w:rPr>
        <w:t xml:space="preserve"> </w:t>
      </w:r>
      <w:r>
        <w:rPr>
          <w:rFonts w:cs="Book Antiqua" w:ascii="Book Antiqua" w:hAnsi="Book Antiqua"/>
          <w:sz w:val="18"/>
          <w:szCs w:val="18"/>
        </w:rPr>
        <w:t>disponibilizado pela Prefeitura Municipal de Rondonópolis/MT.</w:t>
      </w:r>
    </w:p>
    <w:p>
      <w:pPr>
        <w:pStyle w:val="Normal"/>
        <w:jc w:val="both"/>
        <w:rPr>
          <w:rFonts w:ascii="Book Antiqua" w:hAnsi="Book Antiqua" w:cs="Book Antiqua"/>
          <w:sz w:val="18"/>
          <w:szCs w:val="18"/>
        </w:rPr>
      </w:pPr>
      <w:r>
        <w:rPr>
          <w:rFonts w:cs="Book Antiqua" w:ascii="Book Antiqua" w:hAnsi="Book Antiqua"/>
          <w:sz w:val="18"/>
          <w:szCs w:val="18"/>
        </w:rPr>
      </w:r>
    </w:p>
    <w:p>
      <w:pPr>
        <w:pStyle w:val="Ttulo2"/>
        <w:numPr>
          <w:ilvl w:val="1"/>
          <w:numId w:val="1"/>
        </w:numPr>
        <w:spacing w:before="0" w:after="0"/>
        <w:rPr>
          <w:rFonts w:ascii="Book Antiqua" w:hAnsi="Book Antiqua" w:cs="Book Antiqua"/>
          <w:sz w:val="18"/>
          <w:szCs w:val="18"/>
        </w:rPr>
      </w:pPr>
      <w:r>
        <w:rPr>
          <w:rFonts w:cs="Book Antiqua" w:ascii="Book Antiqua" w:hAnsi="Book Antiqua"/>
          <w:sz w:val="18"/>
          <w:szCs w:val="18"/>
        </w:rPr>
        <w:t>DECLARAÇÕES</w:t>
      </w:r>
    </w:p>
    <w:p>
      <w:pPr>
        <w:pStyle w:val="Normal"/>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1. Declaramos que o preço global por nós ofertado será para executar a obra/serviço conforme todas as exigências do Estudo Técnico Preliminar - ETP, Projeto Básico </w:t>
      </w:r>
      <w:r>
        <w:rPr>
          <w:rFonts w:ascii="Book Antiqua" w:hAnsi="Book Antiqua"/>
          <w:sz w:val="18"/>
          <w:szCs w:val="18"/>
        </w:rPr>
        <w:t xml:space="preserve"> </w:t>
      </w:r>
      <w:r>
        <w:rPr>
          <w:rFonts w:cs="Book Antiqua" w:ascii="Book Antiqua" w:hAnsi="Book Antiqua"/>
          <w:sz w:val="18"/>
          <w:szCs w:val="18"/>
        </w:rPr>
        <w:t>disponibilizado e descrito no item 1.1 deste Edital.</w:t>
      </w:r>
    </w:p>
    <w:p>
      <w:pPr>
        <w:pStyle w:val="Normal"/>
        <w:jc w:val="both"/>
        <w:rPr>
          <w:rFonts w:ascii="Book Antiqua" w:hAnsi="Book Antiqua" w:cs="Book Antiqua"/>
          <w:sz w:val="18"/>
          <w:szCs w:val="18"/>
        </w:rPr>
      </w:pPr>
      <w:r>
        <w:rPr>
          <w:rFonts w:cs="Book Antiqua" w:ascii="Book Antiqua" w:hAnsi="Book Antiqua"/>
          <w:sz w:val="18"/>
          <w:szCs w:val="18"/>
        </w:rPr>
        <w:t>2. Declaramos que entregaremos a obra/serviço dentro do prazo de ____(__________) meses, conforme estipulado em edital.</w:t>
      </w:r>
    </w:p>
    <w:p>
      <w:pPr>
        <w:pStyle w:val="Normal"/>
        <w:jc w:val="both"/>
        <w:rPr>
          <w:rFonts w:ascii="Book Antiqua" w:hAnsi="Book Antiqua" w:cs="Book Antiqua"/>
          <w:sz w:val="18"/>
          <w:szCs w:val="18"/>
        </w:rPr>
      </w:pPr>
      <w:r>
        <w:rPr>
          <w:rFonts w:cs="Book Antiqua" w:ascii="Book Antiqua" w:hAnsi="Book Antiqua"/>
          <w:sz w:val="18"/>
          <w:szCs w:val="18"/>
        </w:rPr>
        <w:t>3. Declaramos que estamos de acordo com os itens referentes ao cronograma físico-financeiro, prazos, medições e pagamentos parciais.</w:t>
      </w:r>
    </w:p>
    <w:p>
      <w:pPr>
        <w:pStyle w:val="Normal"/>
        <w:jc w:val="both"/>
        <w:rPr/>
      </w:pPr>
      <w:r>
        <w:rPr>
          <w:rFonts w:cs="Book Antiqua" w:ascii="Book Antiqua" w:hAnsi="Book Antiqua"/>
          <w:sz w:val="18"/>
          <w:szCs w:val="18"/>
        </w:rPr>
        <w:t xml:space="preserve">4. </w:t>
      </w:r>
      <w:r>
        <w:rPr>
          <w:rFonts w:eastAsia="SimSun;???????????????????????" w:cs="Book Antiqua" w:ascii="Book Antiqua" w:hAnsi="Book Antiqua"/>
          <w:sz w:val="18"/>
          <w:szCs w:val="18"/>
        </w:rPr>
        <w:t>Declaração de que no preço proposto para a execução dos serviços, de acordo com os projetos e especificações que fazem parte integrante deste Edital, já estão inclusas todas e quaisquer despesas com materiais, equipamentos e ferramentas, mão-de-obra, encargos trabalhistas, encargos sociais, taxas devidas a órgãos públicos, emolumentos, enfim, quaisquer despesas necessárias para a realização dos serviços, inclusive o BDI/LDI</w:t>
      </w:r>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t>5. Declaramos que o prazo de validade para a nossa proposta é de 60 (sessenta) dias.</w:t>
      </w:r>
    </w:p>
    <w:p>
      <w:pPr>
        <w:pStyle w:val="Normal"/>
        <w:jc w:val="both"/>
        <w:rPr>
          <w:rFonts w:ascii="Book Antiqua" w:hAnsi="Book Antiqua" w:cs="Book Antiqua"/>
          <w:sz w:val="18"/>
          <w:szCs w:val="18"/>
        </w:rPr>
      </w:pPr>
      <w:r>
        <w:rPr>
          <w:rFonts w:cs="Book Antiqua" w:ascii="Book Antiqua" w:hAnsi="Book Antiqua"/>
          <w:sz w:val="18"/>
          <w:szCs w:val="18"/>
        </w:rPr>
        <w:t>6. Foram utilizados em nosso orçamento a Taxa de BDI de XX,XX%, Encargos Sociais de XXX,XX%. O Regime Tributário a que estamos sujeitos é o de XX.</w:t>
      </w:r>
    </w:p>
    <w:p>
      <w:pPr>
        <w:pStyle w:val="Normal"/>
        <w:numPr>
          <w:ilvl w:val="0"/>
          <w:numId w:val="4"/>
        </w:numPr>
        <w:tabs>
          <w:tab w:val="clear" w:pos="708"/>
          <w:tab w:val="left" w:pos="-14664" w:leader="none"/>
        </w:tabs>
        <w:spacing w:before="40" w:after="40"/>
        <w:jc w:val="both"/>
        <w:rPr>
          <w:rFonts w:ascii="Book Antiqua" w:hAnsi="Book Antiqua" w:cs="Book Antiqua"/>
          <w:bCs/>
          <w:sz w:val="18"/>
          <w:szCs w:val="18"/>
        </w:rPr>
      </w:pPr>
      <w:r>
        <w:rPr>
          <w:rFonts w:cs="Book Antiqua" w:ascii="Book Antiqua" w:hAnsi="Book Antiqua"/>
          <w:bCs/>
          <w:sz w:val="18"/>
          <w:szCs w:val="18"/>
        </w:rPr>
        <w:t>A proposta deverá conter: Prazo de entrega dos serviços; Prazo de validade da proposta. Valor Global da proposta; Planilha Orçamentária com preços unitários e totais por item; Composição de Custo Unitário dos serviços que compõem a planilha (Composição de Custo Unitário), Composição dos Encargos Sociais.</w:t>
      </w:r>
    </w:p>
    <w:p>
      <w:pPr>
        <w:pStyle w:val="Normal"/>
        <w:jc w:val="both"/>
        <w:rPr>
          <w:rFonts w:ascii="Book Antiqua" w:hAnsi="Book Antiqua" w:cs="Book Antiqua"/>
          <w:sz w:val="18"/>
          <w:szCs w:val="18"/>
        </w:rPr>
      </w:pPr>
      <w:r>
        <w:rPr>
          <w:rFonts w:cs="Book Antiqua" w:ascii="Book Antiqua" w:hAnsi="Book Antiqua"/>
          <w:sz w:val="18"/>
          <w:szCs w:val="18"/>
        </w:rPr>
        <w:t>7. Informar os dados bancário</w:t>
      </w:r>
    </w:p>
    <w:p>
      <w:pPr>
        <w:pStyle w:val="Normal"/>
        <w:jc w:val="both"/>
        <w:rPr>
          <w:rFonts w:ascii="Book Antiqua" w:hAnsi="Book Antiqua" w:cs="Book Antiqua"/>
          <w:sz w:val="18"/>
          <w:szCs w:val="18"/>
        </w:rPr>
      </w:pPr>
      <w:r>
        <w:rPr>
          <w:rFonts w:cs="Book Antiqua" w:ascii="Book Antiqua" w:hAnsi="Book Antiqua"/>
          <w:sz w:val="18"/>
          <w:szCs w:val="18"/>
        </w:rPr>
        <w:t>Banco: ____________________, nº do Banco: _______ Agência: ____________ nº Conta: ______________</w:t>
      </w:r>
    </w:p>
    <w:p>
      <w:pPr>
        <w:pStyle w:val="Normal"/>
        <w:ind w:firstLine="1701"/>
        <w:jc w:val="both"/>
        <w:rPr>
          <w:rFonts w:ascii="Book Antiqua" w:hAnsi="Book Antiqua" w:cs="Book Antiqua"/>
          <w:sz w:val="18"/>
          <w:szCs w:val="18"/>
        </w:rPr>
      </w:pPr>
      <w:r>
        <w:rPr>
          <w:rFonts w:cs="Book Antiqua" w:ascii="Book Antiqua" w:hAnsi="Book Antiqua"/>
          <w:sz w:val="18"/>
          <w:szCs w:val="18"/>
        </w:rPr>
      </w:r>
    </w:p>
    <w:p>
      <w:pPr>
        <w:pStyle w:val="Normal"/>
        <w:ind w:firstLine="1701"/>
        <w:jc w:val="both"/>
        <w:rPr>
          <w:rFonts w:ascii="Book Antiqua" w:hAnsi="Book Antiqua" w:cs="Book Antiqua"/>
          <w:sz w:val="18"/>
          <w:szCs w:val="18"/>
        </w:rPr>
      </w:pPr>
      <w:r>
        <w:rPr>
          <w:rFonts w:cs="Book Antiqua" w:ascii="Book Antiqua" w:hAnsi="Book Antiqua"/>
          <w:sz w:val="18"/>
          <w:szCs w:val="18"/>
        </w:rPr>
      </w:r>
    </w:p>
    <w:p>
      <w:pPr>
        <w:pStyle w:val="Normal"/>
        <w:ind w:firstLine="1701"/>
        <w:jc w:val="both"/>
        <w:rPr>
          <w:rFonts w:ascii="Book Antiqua" w:hAnsi="Book Antiqua" w:cs="Book Antiqua"/>
          <w:sz w:val="18"/>
          <w:szCs w:val="18"/>
        </w:rPr>
      </w:pPr>
      <w:r>
        <w:rPr>
          <w:rFonts w:cs="Book Antiqua" w:ascii="Book Antiqua" w:hAnsi="Book Antiqua"/>
          <w:sz w:val="18"/>
          <w:szCs w:val="18"/>
        </w:rPr>
        <w:t>À elevada consideração de V. S.as.</w:t>
      </w:r>
    </w:p>
    <w:p>
      <w:pPr>
        <w:pStyle w:val="Normal"/>
        <w:tabs>
          <w:tab w:val="clear" w:pos="708"/>
          <w:tab w:val="right" w:pos="5760" w:leader="underscore"/>
        </w:tabs>
        <w:ind w:firstLine="1701"/>
        <w:jc w:val="center"/>
        <w:rPr>
          <w:rFonts w:ascii="Book Antiqua" w:hAnsi="Book Antiqua" w:cs="Book Antiqua"/>
          <w:sz w:val="18"/>
          <w:szCs w:val="18"/>
        </w:rPr>
      </w:pPr>
      <w:r>
        <w:rPr>
          <w:rFonts w:cs="Book Antiqua" w:ascii="Book Antiqua" w:hAnsi="Book Antiqua"/>
          <w:sz w:val="18"/>
          <w:szCs w:val="18"/>
        </w:rPr>
      </w:r>
    </w:p>
    <w:p>
      <w:pPr>
        <w:pStyle w:val="Normal"/>
        <w:tabs>
          <w:tab w:val="clear" w:pos="708"/>
          <w:tab w:val="right" w:pos="5760" w:leader="underscore"/>
        </w:tabs>
        <w:ind w:firstLine="1701"/>
        <w:jc w:val="center"/>
        <w:rPr>
          <w:rFonts w:ascii="Book Antiqua" w:hAnsi="Book Antiqua" w:cs="Book Antiqua"/>
          <w:sz w:val="18"/>
          <w:szCs w:val="18"/>
        </w:rPr>
      </w:pPr>
      <w:r>
        <w:rPr>
          <w:rFonts w:cs="Book Antiqua" w:ascii="Book Antiqua" w:hAnsi="Book Antiqua"/>
          <w:sz w:val="18"/>
          <w:szCs w:val="18"/>
        </w:rPr>
        <w:t>_________________________</w:t>
      </w:r>
    </w:p>
    <w:p>
      <w:pPr>
        <w:pStyle w:val="Normal"/>
        <w:ind w:right="576" w:firstLine="4536"/>
        <w:rPr>
          <w:rFonts w:ascii="Book Antiqua" w:hAnsi="Book Antiqua" w:cs="Book Antiqua"/>
          <w:sz w:val="18"/>
          <w:szCs w:val="18"/>
        </w:rPr>
      </w:pPr>
      <w:r>
        <w:rPr>
          <w:rFonts w:cs="Book Antiqua" w:ascii="Book Antiqua" w:hAnsi="Book Antiqua"/>
          <w:sz w:val="18"/>
          <w:szCs w:val="18"/>
        </w:rPr>
        <w:t>Responsável pela Firma</w:t>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sz w:val="18"/>
          <w:szCs w:val="18"/>
        </w:rPr>
      </w:pPr>
      <w:r>
        <w:rPr>
          <w:rFonts w:cs="Book Antiqua" w:ascii="Book Antiqua" w:hAnsi="Book Antiqua"/>
          <w:b/>
          <w:sz w:val="18"/>
          <w:szCs w:val="18"/>
        </w:rPr>
      </w:r>
      <w:r>
        <w:br w:type="page"/>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ANEXO II</w:t>
      </w:r>
    </w:p>
    <w:p>
      <w:pPr>
        <w:pStyle w:val="Normal"/>
        <w:rPr>
          <w:rFonts w:ascii="Book Antiqua" w:hAnsi="Book Antiqua" w:cs="Book Antiqua"/>
          <w:b/>
          <w:b/>
          <w:sz w:val="18"/>
          <w:szCs w:val="18"/>
        </w:rPr>
      </w:pPr>
      <w:r>
        <w:rPr>
          <w:rFonts w:cs="Book Antiqua" w:ascii="Book Antiqua" w:hAnsi="Book Antiqua"/>
          <w:b/>
          <w:sz w:val="18"/>
          <w:szCs w:val="18"/>
        </w:rPr>
      </w:r>
    </w:p>
    <w:p>
      <w:pPr>
        <w:pStyle w:val="Ttulo2"/>
        <w:numPr>
          <w:ilvl w:val="1"/>
          <w:numId w:val="1"/>
        </w:numPr>
        <w:spacing w:before="0" w:after="0"/>
        <w:jc w:val="center"/>
        <w:rPr>
          <w:rFonts w:ascii="Book Antiqua" w:hAnsi="Book Antiqua" w:cs="Book Antiqua"/>
          <w:b w:val="false"/>
          <w:b w:val="false"/>
          <w:i w:val="false"/>
          <w:i w:val="false"/>
          <w:sz w:val="18"/>
          <w:szCs w:val="18"/>
        </w:rPr>
      </w:pPr>
      <w:r>
        <w:rPr>
          <w:rFonts w:cs="Book Antiqua" w:ascii="Book Antiqua" w:hAnsi="Book Antiqua"/>
          <w:b w:val="false"/>
          <w:i w:val="false"/>
          <w:sz w:val="18"/>
          <w:szCs w:val="18"/>
        </w:rPr>
        <w:t>DECLARAÇÃO DE NÃO EMPREGAR MENOR</w:t>
      </w:r>
    </w:p>
    <w:p>
      <w:pPr>
        <w:pStyle w:val="Normal"/>
        <w:jc w:val="center"/>
        <w:rPr>
          <w:rFonts w:ascii="Book Antiqua" w:hAnsi="Book Antiqua" w:cs="Book Antiqua"/>
          <w:b/>
          <w:b/>
          <w:sz w:val="18"/>
          <w:szCs w:val="18"/>
        </w:rPr>
      </w:pPr>
      <w:r>
        <w:rPr>
          <w:rFonts w:cs="Book Antiqua" w:ascii="Book Antiqua" w:hAnsi="Book Antiqua"/>
          <w:b/>
          <w:sz w:val="18"/>
          <w:szCs w:val="18"/>
        </w:rPr>
        <w:t>(MODELO)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(Nome da Empresa)</w:t>
      </w:r>
    </w:p>
    <w:p>
      <w:pPr>
        <w:pStyle w:val="Normal"/>
        <w:jc w:val="both"/>
        <w:rPr>
          <w:rFonts w:ascii="Book Antiqua" w:hAnsi="Book Antiqua" w:cs="Book Antiqua"/>
          <w:sz w:val="18"/>
          <w:szCs w:val="18"/>
        </w:rPr>
      </w:pPr>
      <w:r>
        <w:rPr>
          <w:rFonts w:cs="Book Antiqua" w:ascii="Book Antiqua" w:hAnsi="Book Antiqua"/>
          <w:sz w:val="18"/>
          <w:szCs w:val="18"/>
        </w:rPr>
        <w:t>............................................................................................................................................</w:t>
      </w:r>
    </w:p>
    <w:p>
      <w:pPr>
        <w:pStyle w:val="Normal"/>
        <w:jc w:val="both"/>
        <w:rPr>
          <w:rFonts w:ascii="Book Antiqua" w:hAnsi="Book Antiqua" w:cs="Book Antiqua"/>
          <w:sz w:val="18"/>
          <w:szCs w:val="18"/>
        </w:rPr>
      </w:pPr>
      <w:r>
        <w:rPr>
          <w:rFonts w:cs="Book Antiqua" w:ascii="Book Antiqua" w:hAnsi="Book Antiqua"/>
          <w:sz w:val="18"/>
          <w:szCs w:val="18"/>
        </w:rPr>
        <w:t>inscrito no CNPJ nº .................................................................., por intermédio de seu representante legal o(a) Sr(a) ..................................... ..........................., portador(a) da Carteira de Identidade n° ................................. e do CPF Nº ..........................................., DECLARA, para fins do disposto no inciso VI do art. 68 da Lei nº 14.133, que não emprega menor de dezoito anos em trabalho noturno, perigoso ou insalubre e não emprega menor de dezesseis anos.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Ressalva: emprega menor, a partir de quatorze anos, na condição de aprendiz.</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w:t>
      </w:r>
    </w:p>
    <w:p>
      <w:pPr>
        <w:pStyle w:val="P33"/>
        <w:widowControl/>
        <w:spacing w:lineRule="auto" w:line="240"/>
        <w:jc w:val="center"/>
        <w:rPr>
          <w:rFonts w:ascii="Book Antiqua" w:hAnsi="Book Antiqua" w:cs="Book Antiqua"/>
          <w:sz w:val="18"/>
          <w:szCs w:val="18"/>
        </w:rPr>
      </w:pPr>
      <w:r>
        <w:rPr>
          <w:rFonts w:cs="Book Antiqua" w:ascii="Book Antiqua" w:hAnsi="Book Antiqua"/>
          <w:sz w:val="18"/>
          <w:szCs w:val="18"/>
        </w:rPr>
        <w:t>Local e data.</w:t>
      </w:r>
    </w:p>
    <w:p>
      <w:pPr>
        <w:pStyle w:val="Normal"/>
        <w:jc w:val="center"/>
        <w:rPr>
          <w:rFonts w:ascii="Book Antiqua" w:hAnsi="Book Antiqua" w:cs="Book Antiqua"/>
          <w:sz w:val="18"/>
          <w:szCs w:val="18"/>
        </w:rPr>
      </w:pPr>
      <w:r>
        <w:rPr>
          <w:rFonts w:cs="Book Antiqua" w:ascii="Book Antiqua" w:hAnsi="Book Antiqua"/>
          <w:sz w:val="18"/>
          <w:szCs w:val="18"/>
        </w:rPr>
        <w:t>...........................................................................................................</w:t>
      </w:r>
    </w:p>
    <w:p>
      <w:pPr>
        <w:pStyle w:val="Normal"/>
        <w:jc w:val="center"/>
        <w:rPr>
          <w:rFonts w:ascii="Book Antiqua" w:hAnsi="Book Antiqua" w:cs="Book Antiqua"/>
          <w:sz w:val="18"/>
          <w:szCs w:val="18"/>
        </w:rPr>
      </w:pPr>
      <w:r>
        <w:rPr>
          <w:rFonts w:cs="Book Antiqua" w:ascii="Book Antiqua" w:hAnsi="Book Antiqua"/>
          <w:sz w:val="18"/>
          <w:szCs w:val="18"/>
        </w:rPr>
        <w:t>(identificação e assinatura do representante legal)</w:t>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sz w:val="18"/>
          <w:szCs w:val="18"/>
        </w:rPr>
      </w:pPr>
      <w:r>
        <w:rPr>
          <w:rFonts w:cs="Book Antiqua" w:ascii="Book Antiqua" w:hAnsi="Book Antiqua"/>
          <w:b/>
          <w:sz w:val="18"/>
          <w:szCs w:val="18"/>
        </w:rPr>
      </w:r>
      <w:r>
        <w:br w:type="page"/>
      </w:r>
    </w:p>
    <w:p>
      <w:pPr>
        <w:pStyle w:val="Normal"/>
        <w:pBdr>
          <w:top w:val="single" w:sz="4" w:space="1" w:color="000000"/>
          <w:left w:val="single" w:sz="4" w:space="4" w:color="000000"/>
          <w:bottom w:val="single" w:sz="4" w:space="1" w:color="000000"/>
          <w:right w:val="single" w:sz="4" w:space="4" w:color="000000"/>
        </w:pBdr>
        <w:shd w:val="clear" w:color="auto" w:fill="E0E0E0"/>
        <w:jc w:val="center"/>
        <w:rPr>
          <w:rFonts w:ascii="Book Antiqua" w:hAnsi="Book Antiqua" w:cs="Book Antiqua"/>
          <w:b/>
          <w:b/>
          <w:sz w:val="18"/>
          <w:szCs w:val="18"/>
        </w:rPr>
      </w:pPr>
      <w:r>
        <w:rPr>
          <w:rFonts w:cs="Book Antiqua" w:ascii="Book Antiqua" w:hAnsi="Book Antiqua"/>
          <w:b/>
          <w:sz w:val="18"/>
          <w:szCs w:val="18"/>
        </w:rPr>
        <w:t>ANEXO III</w:t>
      </w:r>
    </w:p>
    <w:p>
      <w:pPr>
        <w:pStyle w:val="Normal"/>
        <w:rPr>
          <w:rFonts w:ascii="Book Antiqua" w:hAnsi="Book Antiqua" w:cs="Book Antiqua"/>
          <w:b/>
          <w:b/>
          <w:sz w:val="18"/>
          <w:szCs w:val="18"/>
        </w:rPr>
      </w:pPr>
      <w:r>
        <w:rPr>
          <w:rFonts w:cs="Book Antiqua" w:ascii="Book Antiqua" w:hAnsi="Book Antiqua"/>
          <w:b/>
          <w:sz w:val="18"/>
          <w:szCs w:val="18"/>
        </w:rPr>
      </w:r>
    </w:p>
    <w:p>
      <w:pPr>
        <w:pStyle w:val="Corpodotexto"/>
        <w:jc w:val="center"/>
        <w:rPr>
          <w:rFonts w:ascii="Book Antiqua" w:hAnsi="Book Antiqua" w:cs="Book Antiqua"/>
          <w:sz w:val="18"/>
          <w:szCs w:val="18"/>
        </w:rPr>
      </w:pPr>
      <w:r>
        <w:rPr>
          <w:rFonts w:cs="Book Antiqua" w:ascii="Book Antiqua" w:hAnsi="Book Antiqua"/>
          <w:sz w:val="18"/>
          <w:szCs w:val="18"/>
        </w:rPr>
        <w:t>DECLARAÇÃO DE INEXISTÊNCIA DE FATOS IMPEDITIVOS À HABILITAÇÃO</w:t>
      </w:r>
    </w:p>
    <w:p>
      <w:pPr>
        <w:pStyle w:val="Normal"/>
        <w:jc w:val="center"/>
        <w:rPr>
          <w:rFonts w:ascii="Book Antiqua" w:hAnsi="Book Antiqua" w:cs="Book Antiqua"/>
          <w:b/>
          <w:b/>
          <w:sz w:val="18"/>
          <w:szCs w:val="18"/>
        </w:rPr>
      </w:pPr>
      <w:r>
        <w:rPr>
          <w:rFonts w:cs="Book Antiqua" w:ascii="Book Antiqua" w:hAnsi="Book Antiqua"/>
          <w:b/>
          <w:sz w:val="18"/>
          <w:szCs w:val="18"/>
        </w:rPr>
        <w:t>(MODELO)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(Nome da Empresa)</w:t>
      </w:r>
    </w:p>
    <w:p>
      <w:pPr>
        <w:pStyle w:val="Normal"/>
        <w:jc w:val="both"/>
        <w:rPr>
          <w:rFonts w:ascii="Book Antiqua" w:hAnsi="Book Antiqua" w:cs="Book Antiqua"/>
          <w:sz w:val="18"/>
          <w:szCs w:val="18"/>
        </w:rPr>
      </w:pPr>
      <w:r>
        <w:rPr>
          <w:rFonts w:cs="Book Antiqua" w:ascii="Book Antiqua" w:hAnsi="Book Antiqua"/>
          <w:sz w:val="18"/>
          <w:szCs w:val="18"/>
        </w:rPr>
        <w:t>..........................................................................................................................................., CNPJ nº .............................................., sediada em ........................................................, DECLARA, sob as penas da lei, que até a presente data, inexistem fatos impeditivos para sua habilitação no presente processo licitatório, ciente da obrigatoriedade de declarar ocorrências posteriores.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right"/>
        <w:rPr>
          <w:rFonts w:ascii="Book Antiqua" w:hAnsi="Book Antiqua" w:cs="Book Antiqua"/>
          <w:sz w:val="18"/>
          <w:szCs w:val="18"/>
        </w:rPr>
      </w:pPr>
      <w:r>
        <w:rPr>
          <w:rFonts w:cs="Book Antiqua" w:ascii="Book Antiqua" w:hAnsi="Book Antiqua"/>
          <w:sz w:val="18"/>
          <w:szCs w:val="18"/>
        </w:rPr>
        <w:t>(local),. ....... de ............................. de 20__.</w:t>
      </w:r>
    </w:p>
    <w:p>
      <w:pPr>
        <w:pStyle w:val="Normal"/>
        <w:jc w:val="center"/>
        <w:rPr>
          <w:rFonts w:ascii="Book Antiqua" w:hAnsi="Book Antiqua" w:cs="Book Antiqua"/>
          <w:sz w:val="18"/>
          <w:szCs w:val="18"/>
        </w:rPr>
      </w:pPr>
      <w:r>
        <w:rPr>
          <w:rFonts w:cs="Book Antiqua" w:ascii="Book Antiqua" w:hAnsi="Book Antiqua"/>
          <w:sz w:val="18"/>
          <w:szCs w:val="18"/>
        </w:rPr>
        <w:t>....................................................................</w:t>
      </w:r>
    </w:p>
    <w:p>
      <w:pPr>
        <w:pStyle w:val="Normal"/>
        <w:jc w:val="center"/>
        <w:rPr>
          <w:rFonts w:ascii="Book Antiqua" w:hAnsi="Book Antiqua" w:cs="Book Antiqua"/>
          <w:sz w:val="18"/>
          <w:szCs w:val="18"/>
        </w:rPr>
      </w:pPr>
      <w:r>
        <w:rPr>
          <w:rFonts w:cs="Book Antiqua" w:ascii="Book Antiqua" w:hAnsi="Book Antiqua"/>
          <w:sz w:val="18"/>
          <w:szCs w:val="18"/>
        </w:rPr>
        <w:t>Nome completo e assinatura do declarante</w:t>
      </w:r>
    </w:p>
    <w:p>
      <w:pPr>
        <w:pStyle w:val="Normal"/>
        <w:jc w:val="center"/>
        <w:rPr>
          <w:rFonts w:ascii="Book Antiqua" w:hAnsi="Book Antiqua" w:cs="Book Antiqua"/>
          <w:sz w:val="18"/>
          <w:szCs w:val="18"/>
        </w:rPr>
      </w:pPr>
      <w:r>
        <w:rPr>
          <w:rFonts w:cs="Book Antiqua" w:ascii="Book Antiqua" w:hAnsi="Book Antiqua"/>
          <w:sz w:val="18"/>
          <w:szCs w:val="18"/>
        </w:rPr>
        <w:t>CPF e RG</w:t>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sz w:val="18"/>
          <w:szCs w:val="18"/>
        </w:rPr>
      </w:pPr>
      <w:r>
        <w:rPr>
          <w:rFonts w:cs="Book Antiqua" w:ascii="Book Antiqua" w:hAnsi="Book Antiqua"/>
          <w:b/>
          <w:sz w:val="18"/>
          <w:szCs w:val="18"/>
        </w:rPr>
      </w:r>
      <w:r>
        <w:br w:type="page"/>
      </w:r>
    </w:p>
    <w:p>
      <w:pPr>
        <w:pStyle w:val="P6"/>
        <w:pBdr>
          <w:top w:val="single" w:sz="4" w:space="1" w:color="000000"/>
          <w:left w:val="single" w:sz="4" w:space="4" w:color="000000"/>
          <w:bottom w:val="single" w:sz="4" w:space="1" w:color="000000"/>
          <w:right w:val="single" w:sz="4" w:space="4" w:color="000000"/>
        </w:pBdr>
        <w:shd w:val="clear" w:color="auto" w:fill="E0E0E0"/>
        <w:tabs>
          <w:tab w:val="left" w:pos="0" w:leader="none"/>
          <w:tab w:val="left" w:pos="4400" w:leader="none"/>
          <w:tab w:val="left" w:pos="7360" w:leader="none"/>
        </w:tabs>
        <w:spacing w:lineRule="auto" w:line="240"/>
        <w:ind w:left="0" w:hanging="0"/>
        <w:jc w:val="center"/>
        <w:rPr>
          <w:rFonts w:ascii="Book Antiqua" w:hAnsi="Book Antiqua" w:cs="Book Antiqua"/>
          <w:b/>
          <w:b/>
          <w:sz w:val="18"/>
          <w:szCs w:val="18"/>
        </w:rPr>
      </w:pPr>
      <w:r>
        <w:rPr>
          <w:rFonts w:cs="Book Antiqua" w:ascii="Book Antiqua" w:hAnsi="Book Antiqua"/>
          <w:b/>
          <w:sz w:val="18"/>
          <w:szCs w:val="18"/>
        </w:rPr>
        <w:t>ANEXO IV</w:t>
      </w:r>
    </w:p>
    <w:p>
      <w:pPr>
        <w:pStyle w:val="Normal"/>
        <w:rPr>
          <w:rFonts w:ascii="Book Antiqua" w:hAnsi="Book Antiqua" w:cs="Book Antiqua"/>
          <w:b/>
          <w:b/>
          <w:sz w:val="18"/>
          <w:szCs w:val="18"/>
        </w:rPr>
      </w:pPr>
      <w:r>
        <w:rPr>
          <w:rFonts w:cs="Book Antiqua" w:ascii="Book Antiqua" w:hAnsi="Book Antiqua"/>
          <w:b/>
          <w:sz w:val="18"/>
          <w:szCs w:val="18"/>
        </w:rPr>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t>DECLARAÇÃO DE VISITA</w:t>
      </w:r>
    </w:p>
    <w:p>
      <w:pPr>
        <w:pStyle w:val="Normal"/>
        <w:jc w:val="center"/>
        <w:rPr>
          <w:rFonts w:ascii="Book Antiqua" w:hAnsi="Book Antiqua" w:cs="Book Antiqua"/>
          <w:b/>
          <w:b/>
          <w:sz w:val="18"/>
          <w:szCs w:val="18"/>
          <w:u w:val="single"/>
        </w:rPr>
      </w:pPr>
      <w:r>
        <w:rPr>
          <w:rFonts w:cs="Book Antiqua" w:ascii="Book Antiqua" w:hAnsi="Book Antiqua"/>
          <w:b/>
          <w:sz w:val="18"/>
          <w:szCs w:val="18"/>
          <w:u w:val="single"/>
        </w:rPr>
      </w:r>
    </w:p>
    <w:p>
      <w:pPr>
        <w:pStyle w:val="Normal"/>
        <w:jc w:val="center"/>
        <w:rPr/>
      </w:pPr>
      <w:r>
        <w:rPr>
          <w:rFonts w:cs="Book Antiqua" w:ascii="Book Antiqua" w:hAnsi="Book Antiqua"/>
          <w:b/>
          <w:sz w:val="18"/>
          <w:szCs w:val="18"/>
          <w:u w:val="single"/>
        </w:rPr>
        <w:t>PROCESSO LICITATÓRIO</w:t>
      </w:r>
      <w:r>
        <w:rPr>
          <w:rFonts w:cs="Book Antiqua" w:ascii="Book Antiqua" w:hAnsi="Book Antiqua"/>
          <w:b/>
          <w:sz w:val="18"/>
          <w:szCs w:val="18"/>
        </w:rPr>
        <w:t xml:space="preserve"> – “</w:t>
      </w:r>
      <w:r>
        <w:rPr>
          <w:rFonts w:cs="Book Antiqua" w:ascii="Book Antiqua" w:hAnsi="Book Antiqua"/>
          <w:b/>
          <w:sz w:val="18"/>
          <w:szCs w:val="18"/>
          <w:u w:val="single"/>
        </w:rPr>
        <w:t xml:space="preserve">CONCORRÊNCIA ELETRÔNICA </w:t>
      </w:r>
      <w:r>
        <w:rPr>
          <w:rFonts w:cs="Book Antiqua" w:ascii="Book Antiqua" w:hAnsi="Book Antiqua"/>
          <w:b/>
          <w:sz w:val="18"/>
          <w:szCs w:val="18"/>
        </w:rPr>
        <w:t>Nº</w:t>
      </w:r>
      <w:r>
        <w:rPr>
          <w:rFonts w:cs="Book Antiqua" w:ascii="Book Antiqua" w:hAnsi="Book Antiqua"/>
          <w:b/>
          <w:sz w:val="18"/>
          <w:szCs w:val="18"/>
          <w:u w:val="single"/>
        </w:rPr>
        <w:t>. ___/20___</w:t>
      </w:r>
      <w:r>
        <w:rPr>
          <w:rFonts w:cs="Book Antiqua" w:ascii="Book Antiqua" w:hAnsi="Book Antiqua"/>
          <w:b/>
          <w:sz w:val="18"/>
          <w:szCs w:val="18"/>
        </w:rPr>
        <w:t>.”.</w:t>
      </w:r>
    </w:p>
    <w:p>
      <w:pPr>
        <w:pStyle w:val="Normal"/>
        <w:jc w:val="center"/>
        <w:rPr>
          <w:rFonts w:ascii="Book Antiqua" w:hAnsi="Book Antiqua" w:cs="Book Antiqua"/>
          <w:b/>
          <w:b/>
          <w:sz w:val="18"/>
          <w:szCs w:val="18"/>
        </w:rPr>
      </w:pPr>
      <w:r>
        <w:rPr>
          <w:rFonts w:cs="Book Antiqua" w:ascii="Book Antiqua" w:hAnsi="Book Antiqua"/>
          <w:b/>
          <w:sz w:val="18"/>
          <w:szCs w:val="18"/>
        </w:rPr>
      </w:r>
    </w:p>
    <w:p>
      <w:pPr>
        <w:pStyle w:val="Recuodecorpodetexto32"/>
        <w:ind w:hanging="0"/>
        <w:jc w:val="center"/>
        <w:rPr/>
      </w:pPr>
      <w:r>
        <w:rPr>
          <w:rFonts w:cs="Book Antiqua" w:ascii="Book Antiqua" w:hAnsi="Book Antiqua"/>
          <w:b/>
          <w:sz w:val="18"/>
          <w:szCs w:val="18"/>
          <w:u w:val="single"/>
        </w:rPr>
        <w:t>OBJETO:</w:t>
      </w:r>
      <w:r>
        <w:rPr>
          <w:rFonts w:cs="Book Antiqua" w:ascii="Book Antiqua" w:hAnsi="Book Antiqua"/>
          <w:sz w:val="18"/>
          <w:szCs w:val="18"/>
          <w:u w:val="single"/>
        </w:rPr>
        <w:t xml:space="preserve"> </w:t>
      </w:r>
      <w:r>
        <w:rPr>
          <w:rFonts w:cs="Book Antiqua" w:ascii="Book Antiqua" w:hAnsi="Book Antiqua"/>
          <w:b/>
          <w:sz w:val="18"/>
          <w:szCs w:val="18"/>
          <w:u w:val="single"/>
        </w:rPr>
        <w:t>“</w:t>
      </w:r>
      <w:r>
        <w:rPr>
          <w:rFonts w:cs="Book Antiqua" w:ascii="Book Antiqua" w:hAnsi="Book Antiqua"/>
          <w:b/>
          <w:sz w:val="18"/>
          <w:szCs w:val="18"/>
        </w:rPr>
        <w:t>__________________________________________________________________________________________________________________________________________________________________________________________</w:t>
      </w:r>
      <w:r>
        <w:rPr>
          <w:rFonts w:cs="Book Antiqua" w:ascii="Book Antiqua" w:hAnsi="Book Antiqua"/>
          <w:b/>
          <w:sz w:val="18"/>
          <w:szCs w:val="18"/>
          <w:u w:val="single"/>
        </w:rPr>
        <w:t>”.</w:t>
      </w:r>
    </w:p>
    <w:p>
      <w:pPr>
        <w:pStyle w:val="Recuodecorpodetexto32"/>
        <w:ind w:hanging="0"/>
        <w:jc w:val="center"/>
        <w:rPr>
          <w:rFonts w:ascii="Book Antiqua" w:hAnsi="Book Antiqua" w:cs="Book Antiqua"/>
          <w:b/>
          <w:b/>
          <w:sz w:val="18"/>
          <w:szCs w:val="18"/>
          <w:u w:val="single"/>
        </w:rPr>
      </w:pPr>
      <w:r>
        <w:rPr>
          <w:rFonts w:cs="Book Antiqua" w:ascii="Book Antiqua" w:hAnsi="Book Antiqua"/>
          <w:b/>
          <w:sz w:val="18"/>
          <w:szCs w:val="18"/>
          <w:u w:val="single"/>
        </w:rPr>
      </w:r>
    </w:p>
    <w:p>
      <w:pPr>
        <w:pStyle w:val="Corpodotexto"/>
        <w:ind w:firstLine="2268"/>
        <w:rPr>
          <w:rFonts w:ascii="Book Antiqua" w:hAnsi="Book Antiqua" w:cs="Book Antiqua"/>
          <w:sz w:val="18"/>
          <w:szCs w:val="18"/>
        </w:rPr>
      </w:pPr>
      <w:r>
        <w:rPr>
          <w:rFonts w:cs="Book Antiqua" w:ascii="Book Antiqua" w:hAnsi="Book Antiqua"/>
          <w:sz w:val="18"/>
          <w:szCs w:val="18"/>
        </w:rPr>
        <w:t>(nome da empresa), representada por (responsável técnico da empresa), ____________________________________, portador da CI/RG nº__________________________, do CPF Nº ____________________________, e do CREA nº ______________, declara que vistoriou e conhece a área geográfica onde serão executados os objetos da presente licitação.</w:t>
      </w:r>
    </w:p>
    <w:p>
      <w:pPr>
        <w:pStyle w:val="Corpodotexto"/>
        <w:rPr>
          <w:rFonts w:ascii="Book Antiqua" w:hAnsi="Book Antiqua" w:eastAsia="Book Antiqua" w:cs="Book Antiqua"/>
          <w:sz w:val="18"/>
          <w:szCs w:val="18"/>
        </w:rPr>
      </w:pPr>
      <w:r>
        <w:rPr>
          <w:rFonts w:eastAsia="Book Antiqua" w:cs="Book Antiqua" w:ascii="Book Antiqua" w:hAnsi="Book Antiqua"/>
          <w:sz w:val="18"/>
          <w:szCs w:val="18"/>
        </w:rPr>
        <w:t xml:space="preserve"> </w:t>
      </w:r>
    </w:p>
    <w:p>
      <w:pPr>
        <w:pStyle w:val="Corpodotexto"/>
        <w:rPr>
          <w:rFonts w:ascii="Book Antiqua" w:hAnsi="Book Antiqua" w:cs="Book Antiqua"/>
          <w:sz w:val="18"/>
          <w:szCs w:val="18"/>
        </w:rPr>
      </w:pPr>
      <w:r>
        <w:rPr>
          <w:rFonts w:cs="Book Antiqua" w:ascii="Book Antiqua" w:hAnsi="Book Antiqua"/>
          <w:sz w:val="18"/>
          <w:szCs w:val="18"/>
        </w:rPr>
        <w:t>Rondonópolis-MT, ____ de ________________ de 20__.</w:t>
      </w:r>
    </w:p>
    <w:p>
      <w:pPr>
        <w:pStyle w:val="Corpodotexto"/>
        <w:rPr>
          <w:rFonts w:ascii="Book Antiqua" w:hAnsi="Book Antiqua" w:cs="Book Antiqua"/>
          <w:sz w:val="18"/>
          <w:szCs w:val="18"/>
        </w:rPr>
      </w:pPr>
      <w:r>
        <w:rPr>
          <w:rFonts w:cs="Book Antiqua" w:ascii="Book Antiqua" w:hAnsi="Book Antiqua"/>
          <w:sz w:val="18"/>
          <w:szCs w:val="18"/>
        </w:rPr>
      </w:r>
    </w:p>
    <w:p>
      <w:pPr>
        <w:pStyle w:val="Corpodotexto"/>
        <w:jc w:val="center"/>
        <w:rPr>
          <w:rFonts w:ascii="Book Antiqua" w:hAnsi="Book Antiqua" w:cs="Book Antiqua"/>
          <w:sz w:val="18"/>
          <w:szCs w:val="18"/>
        </w:rPr>
      </w:pPr>
      <w:r>
        <w:rPr>
          <w:rFonts w:cs="Book Antiqua" w:ascii="Book Antiqua" w:hAnsi="Book Antiqua"/>
          <w:sz w:val="18"/>
          <w:szCs w:val="18"/>
        </w:rPr>
        <w:t>_____________________________________________</w:t>
      </w:r>
    </w:p>
    <w:p>
      <w:pPr>
        <w:pStyle w:val="Corpodotexto"/>
        <w:jc w:val="center"/>
        <w:rPr>
          <w:rFonts w:ascii="Book Antiqua" w:hAnsi="Book Antiqua" w:cs="Book Antiqua"/>
          <w:sz w:val="18"/>
          <w:szCs w:val="18"/>
        </w:rPr>
      </w:pPr>
      <w:r>
        <w:rPr>
          <w:rFonts w:cs="Book Antiqua" w:ascii="Book Antiqua" w:hAnsi="Book Antiqua"/>
          <w:sz w:val="18"/>
          <w:szCs w:val="18"/>
        </w:rPr>
        <w:t>Assinatura do Responsável Técnico do Serviço</w:t>
      </w:r>
    </w:p>
    <w:p>
      <w:pPr>
        <w:pStyle w:val="Corpodotexto"/>
        <w:rPr>
          <w:rFonts w:ascii="Book Antiqua" w:hAnsi="Book Antiqua" w:cs="Book Antiqua"/>
          <w:sz w:val="18"/>
          <w:szCs w:val="18"/>
        </w:rPr>
      </w:pPr>
      <w:r>
        <w:rPr>
          <w:rFonts w:cs="Book Antiqua" w:ascii="Book Antiqua" w:hAnsi="Book Antiqua"/>
          <w:sz w:val="18"/>
          <w:szCs w:val="18"/>
        </w:rPr>
        <w:t>Ciente: ____________________________</w:t>
      </w:r>
    </w:p>
    <w:p>
      <w:pPr>
        <w:pStyle w:val="Corpodotexto"/>
        <w:rPr/>
      </w:pPr>
      <w:r>
        <w:rPr>
          <w:rFonts w:eastAsia="Book Antiqua" w:cs="Book Antiqua" w:ascii="Book Antiqua" w:hAnsi="Book Antiqua"/>
          <w:sz w:val="18"/>
          <w:szCs w:val="18"/>
        </w:rPr>
        <w:t xml:space="preserve">              </w:t>
      </w:r>
      <w:r>
        <w:rPr>
          <w:rFonts w:cs="Book Antiqua" w:ascii="Book Antiqua" w:hAnsi="Book Antiqua"/>
          <w:sz w:val="18"/>
          <w:szCs w:val="18"/>
        </w:rPr>
        <w:t>(responsável legal da empresa)</w:t>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sz w:val="18"/>
          <w:szCs w:val="18"/>
        </w:rPr>
      </w:pPr>
      <w:r>
        <w:rPr>
          <w:rFonts w:ascii="Book Antiqua" w:hAnsi="Book Antiqua"/>
          <w:sz w:val="18"/>
          <w:szCs w:val="18"/>
        </w:rPr>
      </w:r>
    </w:p>
    <w:p>
      <w:pPr>
        <w:pStyle w:val="Corpodotexto"/>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bCs/>
          <w:sz w:val="18"/>
          <w:szCs w:val="18"/>
        </w:rPr>
      </w:pPr>
      <w:r>
        <w:rPr>
          <w:rFonts w:cs="Book Antiqua" w:ascii="Book Antiqua" w:hAnsi="Book Antiqua"/>
          <w:b/>
          <w:bCs/>
          <w:sz w:val="18"/>
          <w:szCs w:val="18"/>
        </w:rPr>
      </w:r>
      <w:r>
        <w:br w:type="page"/>
      </w:r>
    </w:p>
    <w:p>
      <w:pPr>
        <w:pStyle w:val="Ttulo21"/>
        <w:pBdr>
          <w:top w:val="single" w:sz="4" w:space="1" w:color="000000"/>
          <w:left w:val="single" w:sz="4" w:space="4" w:color="000000"/>
          <w:bottom w:val="single" w:sz="4" w:space="1" w:color="000000"/>
          <w:right w:val="single" w:sz="4" w:space="4" w:color="000000"/>
        </w:pBdr>
        <w:shd w:val="clear" w:color="auto" w:fill="E0E0E0"/>
        <w:rPr>
          <w:rFonts w:ascii="Book Antiqua" w:hAnsi="Book Antiqua" w:cs="Book Antiqua"/>
          <w:sz w:val="18"/>
          <w:szCs w:val="18"/>
        </w:rPr>
      </w:pPr>
      <w:r>
        <w:rPr>
          <w:rFonts w:cs="Book Antiqua" w:ascii="Book Antiqua" w:hAnsi="Book Antiqua"/>
          <w:sz w:val="18"/>
          <w:szCs w:val="18"/>
        </w:rPr>
        <w:t>ANEXO V</w:t>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DECLARAÇÃO DE INEXISTÊNCIA NO QUADRO DE DIRIGENTES DA</w:t>
      </w:r>
    </w:p>
    <w:p>
      <w:pPr>
        <w:pStyle w:val="Normal"/>
        <w:jc w:val="center"/>
        <w:rPr>
          <w:rFonts w:ascii="Book Antiqua" w:hAnsi="Book Antiqua" w:cs="Book Antiqua"/>
          <w:sz w:val="18"/>
          <w:szCs w:val="18"/>
        </w:rPr>
      </w:pPr>
      <w:r>
        <w:rPr>
          <w:rFonts w:cs="Book Antiqua" w:ascii="Book Antiqua" w:hAnsi="Book Antiqua"/>
          <w:sz w:val="18"/>
          <w:szCs w:val="18"/>
        </w:rPr>
        <w:t>ENTIDADE, DE SERVIDORES COM VÍNCULOS NO PODER PÚBLICO</w:t>
      </w:r>
    </w:p>
    <w:p>
      <w:pPr>
        <w:pStyle w:val="Normal"/>
        <w:jc w:val="center"/>
        <w:rPr/>
      </w:pPr>
      <w:r>
        <w:rPr>
          <w:rFonts w:eastAsia="Book Antiqua" w:cs="Book Antiqua" w:ascii="Book Antiqua" w:hAnsi="Book Antiqua"/>
          <w:b/>
          <w:sz w:val="18"/>
          <w:szCs w:val="18"/>
        </w:rPr>
        <w:t xml:space="preserve"> </w:t>
      </w:r>
      <w:r>
        <w:rPr>
          <w:rFonts w:cs="Book Antiqua" w:ascii="Book Antiqua" w:hAnsi="Book Antiqua"/>
          <w:b/>
          <w:sz w:val="18"/>
          <w:szCs w:val="18"/>
        </w:rPr>
        <w:t>(MODELO)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(Nome da Empresa)................................................CNPJ nº ...................................., sediada em ................................, DECLARA, sob as penas da lei, que até a presente data, para os fins a quem possa interessar que não possui em seu quadro de dirigentes: membro dos Poderes Executivo, Legislativo, Judiciário, do Ministério Público, do Tribunal de Contas do Estado, bem como seus respectivos cônjuges, companheiros, e parentes em linha reta, colateral ou por afinidade até o 2º grau.</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(local),. ....... de ............................. de 20__.</w:t>
      </w:r>
    </w:p>
    <w:p>
      <w:pPr>
        <w:pStyle w:val="Normal"/>
        <w:jc w:val="center"/>
        <w:rPr>
          <w:rFonts w:ascii="Book Antiqua" w:hAnsi="Book Antiqua" w:cs="Book Antiqua"/>
          <w:sz w:val="18"/>
          <w:szCs w:val="18"/>
        </w:rPr>
      </w:pPr>
      <w:r>
        <w:rPr>
          <w:rFonts w:cs="Book Antiqua" w:ascii="Book Antiqua" w:hAnsi="Book Antiqua"/>
          <w:sz w:val="18"/>
          <w:szCs w:val="18"/>
        </w:rPr>
        <w:t>Nome completo e assinatura do declarante</w:t>
      </w:r>
    </w:p>
    <w:p>
      <w:pPr>
        <w:pStyle w:val="Normal"/>
        <w:jc w:val="center"/>
        <w:rPr>
          <w:rFonts w:ascii="Book Antiqua" w:hAnsi="Book Antiqua" w:cs="Book Antiqua"/>
          <w:sz w:val="18"/>
          <w:szCs w:val="18"/>
        </w:rPr>
      </w:pPr>
      <w:r>
        <w:rPr>
          <w:rFonts w:cs="Book Antiqua" w:ascii="Book Antiqua" w:hAnsi="Book Antiqua"/>
          <w:sz w:val="18"/>
          <w:szCs w:val="18"/>
        </w:rPr>
        <w:t>CPF e RG</w:t>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sz w:val="18"/>
          <w:szCs w:val="18"/>
        </w:rPr>
      </w:pPr>
      <w:r>
        <w:rPr>
          <w:rFonts w:cs="Book Antiqua" w:ascii="Book Antiqua" w:hAnsi="Book Antiqua"/>
          <w:b/>
          <w:sz w:val="18"/>
          <w:szCs w:val="18"/>
        </w:rPr>
      </w:r>
      <w:r>
        <w:br w:type="page"/>
      </w:r>
    </w:p>
    <w:p>
      <w:pPr>
        <w:pStyle w:val="Normal"/>
        <w:pBdr>
          <w:top w:val="single" w:sz="4" w:space="1" w:color="000000"/>
          <w:left w:val="single" w:sz="4" w:space="4" w:color="000000"/>
          <w:bottom w:val="single" w:sz="4" w:space="1" w:color="000000"/>
          <w:right w:val="single" w:sz="4" w:space="4" w:color="000000"/>
        </w:pBdr>
        <w:shd w:val="clear" w:color="auto" w:fill="E0E0E0"/>
        <w:spacing w:before="120" w:after="120"/>
        <w:jc w:val="center"/>
        <w:rPr>
          <w:rFonts w:ascii="Book Antiqua" w:hAnsi="Book Antiqua" w:cs="Book Antiqua"/>
          <w:b/>
          <w:b/>
          <w:sz w:val="18"/>
          <w:szCs w:val="18"/>
        </w:rPr>
      </w:pPr>
      <w:r>
        <w:rPr>
          <w:rFonts w:cs="Book Antiqua" w:ascii="Book Antiqua" w:hAnsi="Book Antiqua"/>
          <w:b/>
          <w:sz w:val="18"/>
          <w:szCs w:val="18"/>
        </w:rPr>
        <w:t>ANEXO VI</w:t>
      </w:r>
    </w:p>
    <w:p>
      <w:pPr>
        <w:pStyle w:val="Normal"/>
        <w:spacing w:before="120" w:after="120"/>
        <w:jc w:val="both"/>
        <w:rPr>
          <w:rFonts w:ascii="Book Antiqua" w:hAnsi="Book Antiqua" w:cs="Book Antiqua"/>
          <w:sz w:val="18"/>
          <w:szCs w:val="18"/>
        </w:rPr>
      </w:pPr>
      <w:r>
        <w:rPr>
          <w:rFonts w:cs="Book Antiqua" w:ascii="Book Antiqua" w:hAnsi="Book Antiqua"/>
          <w:sz w:val="18"/>
          <w:szCs w:val="18"/>
        </w:rPr>
        <w:t>Local, data.</w:t>
      </w:r>
    </w:p>
    <w:p>
      <w:pPr>
        <w:pStyle w:val="Normal"/>
        <w:spacing w:before="120" w:after="120"/>
        <w:jc w:val="both"/>
        <w:rPr>
          <w:rFonts w:ascii="Book Antiqua" w:hAnsi="Book Antiqua" w:cs="Book Antiqua"/>
          <w:sz w:val="18"/>
          <w:szCs w:val="18"/>
        </w:rPr>
      </w:pPr>
      <w:r>
        <w:rPr>
          <w:rFonts w:cs="Book Antiqua" w:ascii="Book Antiqua" w:hAnsi="Book Antiqua"/>
          <w:sz w:val="18"/>
          <w:szCs w:val="18"/>
        </w:rPr>
        <w:t>DECLARAÇÃO DE MICROEMPRESA OU EMPRESA DE PEQUENO PORTE</w:t>
      </w:r>
    </w:p>
    <w:p>
      <w:pPr>
        <w:pStyle w:val="Normal"/>
        <w:spacing w:before="120" w:after="120"/>
        <w:jc w:val="both"/>
        <w:rPr>
          <w:rFonts w:ascii="Book Antiqua" w:hAnsi="Book Antiqua" w:cs="Book Antiqua"/>
          <w:sz w:val="18"/>
          <w:szCs w:val="18"/>
        </w:rPr>
      </w:pPr>
      <w:r>
        <w:rPr>
          <w:rFonts w:cs="Book Antiqua" w:ascii="Book Antiqua" w:hAnsi="Book Antiqua"/>
          <w:sz w:val="18"/>
          <w:szCs w:val="18"/>
        </w:rPr>
        <w:t>DECLARO, sob as penas da lei, sem prejuízo das sanções e multas previstas neste ato convocatório, que a empresa ___________________________________(Razão Social), portadora do CNPJ sob nº ________________________, é ( )* Microempresa (ME) ou ( )* Empresa de Pequeno Porte (EPP), nos termos do enquadramento previsto na Lei Complementar nº 123, de 14 de dezembro de 2006, cujos termos declaro conhecer na íntegra, estando apta, portanto, a exercer os direitos referentes a apresentação de documentação de regularidade fiscal na CONCORRÊNCIA ELETRÔNICA  nº ____, realizado pela Prefeitura Municipal de Rondonópolis.</w:t>
      </w:r>
    </w:p>
    <w:p>
      <w:pPr>
        <w:pStyle w:val="Normal"/>
        <w:spacing w:before="120" w:after="120"/>
        <w:jc w:val="center"/>
        <w:rPr>
          <w:rFonts w:ascii="Book Antiqua" w:hAnsi="Book Antiqua" w:cs="Book Antiqua"/>
          <w:sz w:val="18"/>
          <w:szCs w:val="18"/>
        </w:rPr>
      </w:pPr>
      <w:r>
        <w:rPr>
          <w:rFonts w:cs="Book Antiqua" w:ascii="Book Antiqua" w:hAnsi="Book Antiqua"/>
          <w:sz w:val="18"/>
          <w:szCs w:val="18"/>
        </w:rPr>
        <w:t>(ASSINATURA)                           (incluir a assinatura e carimbo do contador )</w:t>
      </w:r>
    </w:p>
    <w:p>
      <w:pPr>
        <w:pStyle w:val="Normal"/>
        <w:spacing w:before="120" w:after="120"/>
        <w:rPr/>
      </w:pPr>
      <w:r>
        <w:rPr>
          <w:rFonts w:eastAsia="Book Antiqua" w:cs="Book Antiqua" w:ascii="Book Antiqua" w:hAnsi="Book Antiqua"/>
          <w:sz w:val="18"/>
          <w:szCs w:val="18"/>
        </w:rPr>
        <w:t xml:space="preserve">                              </w:t>
      </w:r>
      <w:r>
        <w:rPr>
          <w:rFonts w:cs="Book Antiqua" w:ascii="Book Antiqua" w:hAnsi="Book Antiqua"/>
          <w:sz w:val="18"/>
          <w:szCs w:val="18"/>
        </w:rPr>
        <w:t>NOME COMPLETO                                                NOME COMPLETO</w:t>
      </w:r>
    </w:p>
    <w:p>
      <w:pPr>
        <w:pStyle w:val="Normal"/>
        <w:spacing w:before="120" w:after="120"/>
        <w:rPr/>
      </w:pPr>
      <w:r>
        <w:rPr>
          <w:rFonts w:eastAsia="Book Antiqua" w:cs="Book Antiqua" w:ascii="Book Antiqua" w:hAnsi="Book Antiqua"/>
          <w:sz w:val="18"/>
          <w:szCs w:val="18"/>
        </w:rPr>
        <w:t xml:space="preserve">                                         </w:t>
      </w:r>
      <w:r>
        <w:rPr>
          <w:rFonts w:cs="Book Antiqua" w:ascii="Book Antiqua" w:hAnsi="Book Antiqua"/>
          <w:sz w:val="18"/>
          <w:szCs w:val="18"/>
        </w:rPr>
        <w:t>RG Nº                                                                  CRC Nº</w:t>
      </w:r>
    </w:p>
    <w:p>
      <w:pPr>
        <w:pStyle w:val="Normal"/>
        <w:spacing w:before="120" w:after="120"/>
        <w:jc w:val="both"/>
        <w:rPr>
          <w:rFonts w:ascii="Book Antiqua" w:hAnsi="Book Antiqua" w:cs="Book Antiqua"/>
          <w:sz w:val="18"/>
          <w:szCs w:val="18"/>
        </w:rPr>
      </w:pPr>
      <w:r>
        <w:rPr>
          <w:rFonts w:cs="Book Antiqua" w:ascii="Book Antiqua" w:hAnsi="Book Antiqua"/>
          <w:sz w:val="18"/>
          <w:szCs w:val="18"/>
        </w:rPr>
        <w:t>* () Marcar com um “x” para identificar se a licitante está enquadrada no porte de ME ou EPP, conforme o caso.</w:t>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pacing w:before="120" w:after="120"/>
        <w:jc w:val="both"/>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sz w:val="18"/>
          <w:szCs w:val="18"/>
        </w:rPr>
      </w:pPr>
      <w:r>
        <w:rPr>
          <w:rFonts w:cs="Book Antiqua" w:ascii="Book Antiqua" w:hAnsi="Book Antiqua"/>
          <w:b/>
          <w:sz w:val="18"/>
          <w:szCs w:val="18"/>
        </w:rPr>
      </w:r>
      <w:r>
        <w:br w:type="page"/>
      </w:r>
    </w:p>
    <w:p>
      <w:pPr>
        <w:pStyle w:val="Normal"/>
        <w:pBdr>
          <w:top w:val="single" w:sz="4" w:space="1" w:color="000000"/>
          <w:left w:val="single" w:sz="4" w:space="4" w:color="000000"/>
          <w:bottom w:val="single" w:sz="4" w:space="1" w:color="000000"/>
          <w:right w:val="single" w:sz="4" w:space="4" w:color="000000"/>
        </w:pBdr>
        <w:shd w:val="clear" w:color="auto" w:fill="D9D9D9"/>
        <w:jc w:val="center"/>
        <w:rPr>
          <w:rFonts w:ascii="Book Antiqua" w:hAnsi="Book Antiqua" w:cs="Book Antiqua"/>
          <w:b/>
          <w:b/>
          <w:sz w:val="18"/>
          <w:szCs w:val="18"/>
        </w:rPr>
      </w:pPr>
      <w:r>
        <w:rPr>
          <w:rFonts w:cs="Book Antiqua" w:ascii="Book Antiqua" w:hAnsi="Book Antiqua"/>
          <w:b/>
          <w:sz w:val="18"/>
          <w:szCs w:val="18"/>
        </w:rPr>
        <w:t>ANEXO VII</w:t>
      </w:r>
    </w:p>
    <w:p>
      <w:pPr>
        <w:pStyle w:val="Normal"/>
        <w:jc w:val="center"/>
        <w:rPr>
          <w:rFonts w:ascii="Book Antiqua" w:hAnsi="Book Antiqua" w:cs="Book Antiqua"/>
          <w:b/>
          <w:b/>
          <w:sz w:val="18"/>
          <w:szCs w:val="18"/>
        </w:rPr>
      </w:pPr>
      <w:r>
        <w:rPr>
          <w:rFonts w:cs="Book Antiqua" w:ascii="Book Antiqua" w:hAnsi="Book Antiqua"/>
          <w:b/>
          <w:sz w:val="18"/>
          <w:szCs w:val="18"/>
        </w:rPr>
      </w:r>
    </w:p>
    <w:p>
      <w:pPr>
        <w:pStyle w:val="Normal"/>
        <w:jc w:val="center"/>
        <w:rPr>
          <w:rFonts w:ascii="Book Antiqua" w:hAnsi="Book Antiqua" w:cs="Book Antiqua"/>
          <w:sz w:val="18"/>
          <w:szCs w:val="18"/>
        </w:rPr>
      </w:pPr>
      <w:r>
        <w:rPr>
          <w:rFonts w:cs="Book Antiqua" w:ascii="Book Antiqua" w:hAnsi="Book Antiqua"/>
          <w:sz w:val="18"/>
          <w:szCs w:val="18"/>
        </w:rPr>
        <w:t>MODELO DE DECLARAÇÃO DE CONHECIMENTO DO LOCAL A SER REALIZADA A OBRA/SERVIÇOS</w:t>
      </w:r>
    </w:p>
    <w:p>
      <w:pPr>
        <w:pStyle w:val="Normal"/>
        <w:jc w:val="center"/>
        <w:rPr>
          <w:rFonts w:ascii="Book Antiqua" w:hAnsi="Book Antiqua" w:cs="Book Antiqua"/>
          <w:sz w:val="18"/>
          <w:szCs w:val="18"/>
        </w:rPr>
      </w:pPr>
      <w:r>
        <w:rPr>
          <w:rFonts w:cs="Book Antiqua" w:ascii="Book Antiqua" w:hAnsi="Book Antiqua"/>
          <w:sz w:val="18"/>
          <w:szCs w:val="18"/>
        </w:rPr>
      </w:r>
    </w:p>
    <w:p>
      <w:pPr>
        <w:pStyle w:val="Normal"/>
        <w:widowControl w:val="false"/>
        <w:spacing w:lineRule="exact" w:line="200"/>
        <w:jc w:val="both"/>
        <w:rPr>
          <w:rFonts w:ascii="Book Antiqua" w:hAnsi="Book Antiqua" w:cs="Book Antiqua"/>
          <w:sz w:val="18"/>
          <w:szCs w:val="18"/>
        </w:rPr>
      </w:pPr>
      <w:r>
        <w:rPr>
          <w:rFonts w:cs="Book Antiqua" w:ascii="Book Antiqua" w:hAnsi="Book Antiqua"/>
          <w:sz w:val="18"/>
          <w:szCs w:val="18"/>
        </w:rPr>
        <w:t xml:space="preserve">CONCORRÊNCIA ELETRÔNICA n°    </w:t>
      </w:r>
    </w:p>
    <w:p>
      <w:pPr>
        <w:pStyle w:val="Normal"/>
        <w:widowControl w:val="false"/>
        <w:spacing w:lineRule="exact" w:line="200"/>
        <w:jc w:val="both"/>
        <w:rPr>
          <w:rFonts w:ascii="Book Antiqua" w:hAnsi="Book Antiqua" w:cs="Book Antiqua"/>
          <w:sz w:val="18"/>
          <w:szCs w:val="18"/>
        </w:rPr>
      </w:pPr>
      <w:r>
        <w:rPr>
          <w:rFonts w:cs="Book Antiqua" w:ascii="Book Antiqua" w:hAnsi="Book Antiqua"/>
          <w:sz w:val="18"/>
          <w:szCs w:val="18"/>
        </w:rPr>
      </w:r>
    </w:p>
    <w:p>
      <w:pPr>
        <w:pStyle w:val="Normal"/>
        <w:widowControl w:val="false"/>
        <w:spacing w:lineRule="exact" w:line="200"/>
        <w:jc w:val="both"/>
        <w:rPr>
          <w:rFonts w:ascii="Book Antiqua" w:hAnsi="Book Antiqua" w:cs="Book Antiqua"/>
          <w:sz w:val="18"/>
          <w:szCs w:val="18"/>
        </w:rPr>
      </w:pPr>
      <w:r>
        <w:rPr>
          <w:rFonts w:cs="Book Antiqua" w:ascii="Book Antiqua" w:hAnsi="Book Antiqua"/>
          <w:sz w:val="18"/>
          <w:szCs w:val="18"/>
        </w:rPr>
        <w:t>Objeto</w:t>
      </w:r>
    </w:p>
    <w:p>
      <w:pPr>
        <w:pStyle w:val="Normal"/>
        <w:widowControl w:val="false"/>
        <w:spacing w:lineRule="exact" w:line="200"/>
        <w:jc w:val="both"/>
        <w:rPr>
          <w:rFonts w:ascii="Book Antiqua" w:hAnsi="Book Antiqua" w:cs="Book Antiqua"/>
          <w:sz w:val="18"/>
          <w:szCs w:val="18"/>
        </w:rPr>
      </w:pPr>
      <w:r>
        <w:rPr>
          <w:rFonts w:cs="Book Antiqua" w:ascii="Book Antiqua" w:hAnsi="Book Antiqua"/>
          <w:sz w:val="18"/>
          <w:szCs w:val="18"/>
        </w:rPr>
      </w:r>
    </w:p>
    <w:p>
      <w:pPr>
        <w:pStyle w:val="Normal"/>
        <w:widowControl w:val="false"/>
        <w:spacing w:lineRule="exact" w:line="200"/>
        <w:jc w:val="both"/>
        <w:rPr>
          <w:rFonts w:ascii="Book Antiqua" w:hAnsi="Book Antiqua" w:cs="Book Antiqua"/>
          <w:sz w:val="18"/>
          <w:szCs w:val="18"/>
        </w:rPr>
      </w:pPr>
      <w:r>
        <w:rPr>
          <w:rFonts w:cs="Book Antiqua" w:ascii="Book Antiqua" w:hAnsi="Book Antiqua"/>
          <w:sz w:val="18"/>
          <w:szCs w:val="18"/>
        </w:rPr>
      </w:r>
    </w:p>
    <w:p>
      <w:pPr>
        <w:pStyle w:val="Normal"/>
        <w:spacing w:lineRule="auto" w:line="360"/>
        <w:jc w:val="both"/>
        <w:rPr/>
      </w:pPr>
      <w:r>
        <w:rPr>
          <w:rFonts w:cs="Book Antiqua" w:ascii="Book Antiqua" w:hAnsi="Book Antiqua"/>
          <w:spacing w:val="-5"/>
          <w:sz w:val="18"/>
          <w:szCs w:val="18"/>
        </w:rPr>
        <w:t>A empresa................................................................, inscrito no CNPJ sob o n°</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z w:val="18"/>
          <w:szCs w:val="18"/>
        </w:rPr>
        <w:t xml:space="preserve">, através de seu </w:t>
      </w:r>
      <w:r>
        <w:rPr>
          <w:rFonts w:cs="Book Antiqua" w:ascii="Book Antiqua" w:hAnsi="Book Antiqua"/>
          <w:spacing w:val="2"/>
          <w:sz w:val="18"/>
          <w:szCs w:val="18"/>
        </w:rPr>
        <w:t>responsável técnico SR(A)...............</w:t>
      </w:r>
      <w:r>
        <w:rPr>
          <w:rFonts w:cs="Book Antiqua" w:ascii="Book Antiqua" w:hAnsi="Book Antiqua"/>
          <w:sz w:val="18"/>
          <w:szCs w:val="18"/>
        </w:rPr>
        <w:t>,</w:t>
      </w:r>
      <w:r>
        <w:rPr>
          <w:rFonts w:cs="Book Antiqua" w:ascii="Book Antiqua" w:hAnsi="Book Antiqua"/>
          <w:spacing w:val="4"/>
          <w:sz w:val="18"/>
          <w:szCs w:val="18"/>
        </w:rPr>
        <w:t xml:space="preserve"> </w:t>
      </w:r>
      <w:r>
        <w:rPr>
          <w:rFonts w:cs="Book Antiqua" w:ascii="Book Antiqua" w:hAnsi="Book Antiqua"/>
          <w:spacing w:val="-5"/>
          <w:sz w:val="18"/>
          <w:szCs w:val="18"/>
        </w:rPr>
        <w:t>p</w:t>
      </w:r>
      <w:r>
        <w:rPr>
          <w:rFonts w:cs="Book Antiqua" w:ascii="Book Antiqua" w:hAnsi="Book Antiqua"/>
          <w:spacing w:val="5"/>
          <w:sz w:val="18"/>
          <w:szCs w:val="18"/>
        </w:rPr>
        <w:t>o</w:t>
      </w:r>
      <w:r>
        <w:rPr>
          <w:rFonts w:cs="Book Antiqua" w:ascii="Book Antiqua" w:hAnsi="Book Antiqua"/>
          <w:spacing w:val="-3"/>
          <w:sz w:val="18"/>
          <w:szCs w:val="18"/>
        </w:rPr>
        <w:t>r</w:t>
      </w:r>
      <w:r>
        <w:rPr>
          <w:rFonts w:cs="Book Antiqua" w:ascii="Book Antiqua" w:hAnsi="Book Antiqua"/>
          <w:spacing w:val="5"/>
          <w:sz w:val="18"/>
          <w:szCs w:val="18"/>
        </w:rPr>
        <w:t>t</w:t>
      </w:r>
      <w:r>
        <w:rPr>
          <w:rFonts w:cs="Book Antiqua" w:ascii="Book Antiqua" w:hAnsi="Book Antiqua"/>
          <w:spacing w:val="-1"/>
          <w:sz w:val="18"/>
          <w:szCs w:val="18"/>
        </w:rPr>
        <w:t>a</w:t>
      </w:r>
      <w:r>
        <w:rPr>
          <w:rFonts w:cs="Book Antiqua" w:ascii="Book Antiqua" w:hAnsi="Book Antiqua"/>
          <w:spacing w:val="-5"/>
          <w:sz w:val="18"/>
          <w:szCs w:val="18"/>
        </w:rPr>
        <w:t>d</w:t>
      </w:r>
      <w:r>
        <w:rPr>
          <w:rFonts w:cs="Book Antiqua" w:ascii="Book Antiqua" w:hAnsi="Book Antiqua"/>
          <w:spacing w:val="5"/>
          <w:sz w:val="18"/>
          <w:szCs w:val="18"/>
        </w:rPr>
        <w:t>o</w:t>
      </w:r>
      <w:r>
        <w:rPr>
          <w:rFonts w:cs="Book Antiqua" w:ascii="Book Antiqua" w:hAnsi="Book Antiqua"/>
          <w:sz w:val="18"/>
          <w:szCs w:val="18"/>
        </w:rPr>
        <w:t>r</w:t>
      </w:r>
      <w:r>
        <w:rPr>
          <w:rFonts w:cs="Book Antiqua" w:ascii="Book Antiqua" w:hAnsi="Book Antiqua"/>
          <w:spacing w:val="-1"/>
          <w:sz w:val="18"/>
          <w:szCs w:val="18"/>
        </w:rPr>
        <w:t xml:space="preserve"> </w:t>
      </w:r>
      <w:r>
        <w:rPr>
          <w:rFonts w:cs="Book Antiqua" w:ascii="Book Antiqua" w:hAnsi="Book Antiqua"/>
          <w:sz w:val="18"/>
          <w:szCs w:val="18"/>
        </w:rPr>
        <w:t>da</w:t>
      </w:r>
      <w:r>
        <w:rPr>
          <w:rFonts w:cs="Book Antiqua" w:ascii="Book Antiqua" w:hAnsi="Book Antiqua"/>
          <w:spacing w:val="1"/>
          <w:sz w:val="18"/>
          <w:szCs w:val="18"/>
        </w:rPr>
        <w:t xml:space="preserve"> </w:t>
      </w:r>
      <w:r>
        <w:rPr>
          <w:rFonts w:cs="Book Antiqua" w:ascii="Book Antiqua" w:hAnsi="Book Antiqua"/>
          <w:spacing w:val="-1"/>
          <w:sz w:val="18"/>
          <w:szCs w:val="18"/>
        </w:rPr>
        <w:t>ca</w:t>
      </w:r>
      <w:r>
        <w:rPr>
          <w:rFonts w:cs="Book Antiqua" w:ascii="Book Antiqua" w:hAnsi="Book Antiqua"/>
          <w:spacing w:val="-3"/>
          <w:sz w:val="18"/>
          <w:szCs w:val="18"/>
        </w:rPr>
        <w:t>r</w:t>
      </w:r>
      <w:r>
        <w:rPr>
          <w:rFonts w:cs="Book Antiqua" w:ascii="Book Antiqua" w:hAnsi="Book Antiqua"/>
          <w:spacing w:val="5"/>
          <w:sz w:val="18"/>
          <w:szCs w:val="18"/>
        </w:rPr>
        <w:t>t</w:t>
      </w:r>
      <w:r>
        <w:rPr>
          <w:rFonts w:cs="Book Antiqua" w:ascii="Book Antiqua" w:hAnsi="Book Antiqua"/>
          <w:spacing w:val="-1"/>
          <w:sz w:val="18"/>
          <w:szCs w:val="18"/>
        </w:rPr>
        <w:t>e</w:t>
      </w:r>
      <w:r>
        <w:rPr>
          <w:rFonts w:cs="Book Antiqua" w:ascii="Book Antiqua" w:hAnsi="Book Antiqua"/>
          <w:spacing w:val="-9"/>
          <w:sz w:val="18"/>
          <w:szCs w:val="18"/>
        </w:rPr>
        <w:t>i</w:t>
      </w:r>
      <w:r>
        <w:rPr>
          <w:rFonts w:cs="Book Antiqua" w:ascii="Book Antiqua" w:hAnsi="Book Antiqua"/>
          <w:spacing w:val="1"/>
          <w:sz w:val="18"/>
          <w:szCs w:val="18"/>
        </w:rPr>
        <w:t>r</w:t>
      </w:r>
      <w:r>
        <w:rPr>
          <w:rFonts w:cs="Book Antiqua" w:ascii="Book Antiqua" w:hAnsi="Book Antiqua"/>
          <w:sz w:val="18"/>
          <w:szCs w:val="18"/>
        </w:rPr>
        <w:t>a</w:t>
      </w:r>
      <w:r>
        <w:rPr>
          <w:rFonts w:cs="Book Antiqua" w:ascii="Book Antiqua" w:hAnsi="Book Antiqua"/>
          <w:spacing w:val="1"/>
          <w:sz w:val="18"/>
          <w:szCs w:val="18"/>
        </w:rPr>
        <w:t xml:space="preserve"> </w:t>
      </w:r>
      <w:r>
        <w:rPr>
          <w:rFonts w:cs="Book Antiqua" w:ascii="Book Antiqua" w:hAnsi="Book Antiqua"/>
          <w:sz w:val="18"/>
          <w:szCs w:val="18"/>
        </w:rPr>
        <w:t>do</w:t>
      </w:r>
      <w:r>
        <w:rPr>
          <w:rFonts w:cs="Book Antiqua" w:ascii="Book Antiqua" w:hAnsi="Book Antiqua"/>
          <w:spacing w:val="7"/>
          <w:sz w:val="18"/>
          <w:szCs w:val="18"/>
        </w:rPr>
        <w:t xml:space="preserve"> </w:t>
      </w:r>
      <w:r>
        <w:rPr>
          <w:rFonts w:cs="Book Antiqua" w:ascii="Book Antiqua" w:hAnsi="Book Antiqua"/>
          <w:spacing w:val="-2"/>
          <w:sz w:val="18"/>
          <w:szCs w:val="18"/>
        </w:rPr>
        <w:t>CR</w:t>
      </w:r>
      <w:r>
        <w:rPr>
          <w:rFonts w:cs="Book Antiqua" w:ascii="Book Antiqua" w:hAnsi="Book Antiqua"/>
          <w:spacing w:val="2"/>
          <w:sz w:val="18"/>
          <w:szCs w:val="18"/>
        </w:rPr>
        <w:t>E</w:t>
      </w:r>
      <w:r>
        <w:rPr>
          <w:rFonts w:cs="Book Antiqua" w:ascii="Book Antiqua" w:hAnsi="Book Antiqua"/>
          <w:sz w:val="18"/>
          <w:szCs w:val="18"/>
        </w:rPr>
        <w:t xml:space="preserve">A </w:t>
      </w:r>
      <w:r>
        <w:rPr>
          <w:rFonts w:cs="Book Antiqua" w:ascii="Book Antiqua" w:hAnsi="Book Antiqua"/>
          <w:spacing w:val="-5"/>
          <w:sz w:val="18"/>
          <w:szCs w:val="18"/>
        </w:rPr>
        <w:t>n</w:t>
      </w:r>
      <w:r>
        <w:rPr>
          <w:rFonts w:cs="Book Antiqua" w:ascii="Book Antiqua" w:hAnsi="Book Antiqua"/>
          <w:sz w:val="18"/>
          <w:szCs w:val="18"/>
        </w:rPr>
        <w:t>º</w:t>
      </w:r>
      <w:r>
        <w:rPr>
          <w:rFonts w:cs="Book Antiqua" w:ascii="Book Antiqua" w:hAnsi="Book Antiqua"/>
          <w:spacing w:val="4"/>
          <w:sz w:val="18"/>
          <w:szCs w:val="18"/>
        </w:rPr>
        <w:t xml:space="preserve"> </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z w:val="18"/>
          <w:szCs w:val="18"/>
        </w:rPr>
        <w:t>,</w:t>
      </w:r>
      <w:r>
        <w:rPr>
          <w:rFonts w:cs="Book Antiqua" w:ascii="Book Antiqua" w:hAnsi="Book Antiqua"/>
          <w:spacing w:val="4"/>
          <w:sz w:val="18"/>
          <w:szCs w:val="18"/>
        </w:rPr>
        <w:t xml:space="preserve"> </w:t>
      </w:r>
      <w:r>
        <w:rPr>
          <w:rFonts w:cs="Book Antiqua" w:ascii="Book Antiqua" w:hAnsi="Book Antiqua"/>
          <w:spacing w:val="-2"/>
          <w:sz w:val="18"/>
          <w:szCs w:val="18"/>
        </w:rPr>
        <w:t>R</w:t>
      </w:r>
      <w:r>
        <w:rPr>
          <w:rFonts w:cs="Book Antiqua" w:ascii="Book Antiqua" w:hAnsi="Book Antiqua"/>
          <w:spacing w:val="-1"/>
          <w:sz w:val="18"/>
          <w:szCs w:val="18"/>
        </w:rPr>
        <w:t>e</w:t>
      </w:r>
      <w:r>
        <w:rPr>
          <w:rFonts w:cs="Book Antiqua" w:ascii="Book Antiqua" w:hAnsi="Book Antiqua"/>
          <w:sz w:val="18"/>
          <w:szCs w:val="18"/>
        </w:rPr>
        <w:t>g</w:t>
      </w:r>
      <w:r>
        <w:rPr>
          <w:rFonts w:cs="Book Antiqua" w:ascii="Book Antiqua" w:hAnsi="Book Antiqua"/>
          <w:spacing w:val="-4"/>
          <w:sz w:val="18"/>
          <w:szCs w:val="18"/>
        </w:rPr>
        <w:t>i</w:t>
      </w:r>
      <w:r>
        <w:rPr>
          <w:rFonts w:cs="Book Antiqua" w:ascii="Book Antiqua" w:hAnsi="Book Antiqua"/>
          <w:spacing w:val="-1"/>
          <w:sz w:val="18"/>
          <w:szCs w:val="18"/>
        </w:rPr>
        <w:t>ã</w:t>
      </w:r>
      <w:r>
        <w:rPr>
          <w:rFonts w:cs="Book Antiqua" w:ascii="Book Antiqua" w:hAnsi="Book Antiqua"/>
          <w:sz w:val="18"/>
          <w:szCs w:val="18"/>
        </w:rPr>
        <w:t>o</w:t>
      </w:r>
      <w:r>
        <w:rPr>
          <w:rFonts w:cs="Book Antiqua" w:ascii="Book Antiqua" w:hAnsi="Book Antiqua"/>
          <w:spacing w:val="7"/>
          <w:sz w:val="18"/>
          <w:szCs w:val="18"/>
        </w:rPr>
        <w:t xml:space="preserve"> </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pacing w:val="-2"/>
          <w:sz w:val="18"/>
          <w:szCs w:val="18"/>
        </w:rPr>
        <w:t>..</w:t>
      </w:r>
      <w:r>
        <w:rPr>
          <w:rFonts w:cs="Book Antiqua" w:ascii="Book Antiqua" w:hAnsi="Book Antiqua"/>
          <w:sz w:val="18"/>
          <w:szCs w:val="18"/>
        </w:rPr>
        <w:t>,</w:t>
      </w:r>
      <w:r>
        <w:rPr>
          <w:rFonts w:cs="Book Antiqua" w:ascii="Book Antiqua" w:hAnsi="Book Antiqua"/>
          <w:spacing w:val="4"/>
          <w:sz w:val="18"/>
          <w:szCs w:val="18"/>
        </w:rPr>
        <w:t xml:space="preserve"> </w:t>
      </w:r>
      <w:r>
        <w:rPr>
          <w:rFonts w:cs="Book Antiqua" w:ascii="Book Antiqua" w:hAnsi="Book Antiqua"/>
          <w:sz w:val="18"/>
          <w:szCs w:val="18"/>
        </w:rPr>
        <w:t>d</w:t>
      </w:r>
      <w:r>
        <w:rPr>
          <w:rFonts w:cs="Book Antiqua" w:ascii="Book Antiqua" w:hAnsi="Book Antiqua"/>
          <w:spacing w:val="-5"/>
          <w:sz w:val="18"/>
          <w:szCs w:val="18"/>
        </w:rPr>
        <w:t>eclaro</w:t>
      </w:r>
      <w:r>
        <w:rPr>
          <w:rFonts w:cs="Book Antiqua" w:ascii="Book Antiqua" w:hAnsi="Book Antiqua"/>
          <w:spacing w:val="2"/>
          <w:sz w:val="18"/>
          <w:szCs w:val="18"/>
        </w:rPr>
        <w:t xml:space="preserve"> </w:t>
      </w:r>
      <w:r>
        <w:rPr>
          <w:rFonts w:cs="Book Antiqua" w:ascii="Book Antiqua" w:hAnsi="Book Antiqua"/>
          <w:sz w:val="18"/>
          <w:szCs w:val="18"/>
        </w:rPr>
        <w:t>conhecer o local a ser executada a obra/serviço bem como todos os aspectos que possam influir direta ou indiretamente na execução da mesma, tendo declinado do direito de participar da Visita Técnica ao local da referida obra/serviço.</w:t>
      </w:r>
    </w:p>
    <w:p>
      <w:pPr>
        <w:pStyle w:val="Normal"/>
        <w:spacing w:lineRule="auto" w:line="360"/>
        <w:jc w:val="right"/>
        <w:rPr>
          <w:rFonts w:ascii="Book Antiqua" w:hAnsi="Book Antiqua" w:cs="Book Antiqua"/>
          <w:sz w:val="18"/>
          <w:szCs w:val="18"/>
        </w:rPr>
      </w:pPr>
      <w:r>
        <w:rPr>
          <w:rFonts w:cs="Book Antiqua" w:ascii="Book Antiqua" w:hAnsi="Book Antiqua"/>
          <w:sz w:val="18"/>
          <w:szCs w:val="18"/>
        </w:rPr>
        <w:t>Rondonópolis-MT, ____ de _____________de______</w:t>
      </w:r>
    </w:p>
    <w:p>
      <w:pPr>
        <w:pStyle w:val="ListParagraph"/>
        <w:numPr>
          <w:ilvl w:val="0"/>
          <w:numId w:val="5"/>
        </w:numPr>
        <w:tabs>
          <w:tab w:val="clear" w:pos="708"/>
          <w:tab w:val="left" w:pos="0" w:leader="none"/>
          <w:tab w:val="left" w:pos="284" w:leader="none"/>
        </w:tabs>
        <w:spacing w:lineRule="auto" w:line="360"/>
        <w:ind w:left="0" w:hanging="0"/>
        <w:jc w:val="both"/>
        <w:rPr/>
      </w:pPr>
      <w:r>
        <w:rPr>
          <w:rFonts w:eastAsia="Book Antiqua" w:cs="Book Antiqua" w:ascii="Book Antiqua" w:hAnsi="Book Antiqua"/>
          <w:sz w:val="18"/>
          <w:szCs w:val="18"/>
        </w:rPr>
        <w:t xml:space="preserve"> </w:t>
      </w:r>
      <w:r>
        <w:rPr>
          <w:rFonts w:cs="Book Antiqua" w:ascii="Book Antiqua" w:hAnsi="Book Antiqua"/>
          <w:sz w:val="18"/>
          <w:szCs w:val="18"/>
        </w:rPr>
        <w:t>Esta declaração deverá ser apresentada em papel timbrado da empresa, assinada pelo responsável técnico da obra/serviço e pelo responsável legal da empresa.</w:t>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ListParagraph"/>
        <w:tabs>
          <w:tab w:val="clear" w:pos="708"/>
          <w:tab w:val="left" w:pos="0" w:leader="none"/>
          <w:tab w:val="left" w:pos="284" w:leader="none"/>
        </w:tabs>
        <w:spacing w:lineRule="auto" w:line="360"/>
        <w:ind w:left="0" w:hanging="0"/>
        <w:jc w:val="both"/>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bCs/>
          <w:sz w:val="18"/>
          <w:szCs w:val="18"/>
        </w:rPr>
      </w:pPr>
      <w:r>
        <w:rPr>
          <w:rFonts w:cs="Book Antiqua" w:ascii="Book Antiqua" w:hAnsi="Book Antiqua"/>
          <w:b/>
          <w:bCs/>
          <w:sz w:val="18"/>
          <w:szCs w:val="18"/>
        </w:rPr>
      </w:r>
      <w:r>
        <w:br w:type="page"/>
      </w:r>
    </w:p>
    <w:p>
      <w:pPr>
        <w:pStyle w:val="Ttulo21"/>
        <w:pBdr>
          <w:top w:val="single" w:sz="4" w:space="1" w:color="000000"/>
          <w:left w:val="single" w:sz="4" w:space="4" w:color="000000"/>
          <w:bottom w:val="single" w:sz="4" w:space="1" w:color="000000"/>
          <w:right w:val="single" w:sz="4" w:space="4" w:color="000000"/>
        </w:pBdr>
        <w:shd w:val="clear" w:color="auto" w:fill="D9D9D9"/>
        <w:rPr>
          <w:rFonts w:ascii="Book Antiqua" w:hAnsi="Book Antiqua" w:cs="Book Antiqua"/>
          <w:sz w:val="18"/>
          <w:szCs w:val="18"/>
        </w:rPr>
      </w:pPr>
      <w:r>
        <w:rPr>
          <w:rFonts w:cs="Book Antiqua" w:ascii="Book Antiqua" w:hAnsi="Book Antiqua"/>
          <w:sz w:val="18"/>
          <w:szCs w:val="18"/>
        </w:rPr>
        <w:t>ANEXO VIII</w:t>
      </w:r>
    </w:p>
    <w:p>
      <w:pPr>
        <w:pStyle w:val="Normal"/>
        <w:tabs>
          <w:tab w:val="clear" w:pos="708"/>
          <w:tab w:val="left" w:pos="8576" w:leader="none"/>
          <w:tab w:val="left" w:pos="10419" w:leader="none"/>
        </w:tabs>
        <w:jc w:val="center"/>
        <w:rPr>
          <w:rFonts w:ascii="Book Antiqua" w:hAnsi="Book Antiqua" w:cs="Book Antiqua"/>
          <w:b/>
          <w:b/>
          <w:color w:val="FF0000"/>
          <w:sz w:val="18"/>
          <w:szCs w:val="18"/>
        </w:rPr>
      </w:pPr>
      <w:r>
        <w:rPr>
          <w:rFonts w:cs="Book Antiqua" w:ascii="Book Antiqua" w:hAnsi="Book Antiqua"/>
          <w:b/>
          <w:color w:val="FF0000"/>
          <w:sz w:val="18"/>
          <w:szCs w:val="18"/>
        </w:rPr>
      </w:r>
    </w:p>
    <w:p>
      <w:pPr>
        <w:pStyle w:val="Normal"/>
        <w:tabs>
          <w:tab w:val="clear" w:pos="708"/>
          <w:tab w:val="left" w:pos="8576" w:leader="none"/>
          <w:tab w:val="left" w:pos="10419" w:leader="none"/>
        </w:tabs>
        <w:jc w:val="center"/>
        <w:rPr>
          <w:rFonts w:ascii="Book Antiqua" w:hAnsi="Book Antiqua" w:cs="Book Antiqua"/>
          <w:b/>
          <w:b/>
          <w:color w:val="FF0000"/>
          <w:sz w:val="18"/>
          <w:szCs w:val="18"/>
        </w:rPr>
      </w:pPr>
      <w:r>
        <w:rPr>
          <w:rFonts w:cs="Book Antiqua" w:ascii="Book Antiqua" w:hAnsi="Book Antiqua"/>
          <w:b/>
          <w:color w:val="FF0000"/>
          <w:sz w:val="18"/>
          <w:szCs w:val="18"/>
        </w:rPr>
        <w:t>PAPEL TIMBRADO DA EMPRESA</w:t>
      </w:r>
    </w:p>
    <w:p>
      <w:pPr>
        <w:pStyle w:val="Normal"/>
        <w:jc w:val="center"/>
        <w:rPr>
          <w:rFonts w:ascii="Book Antiqua" w:hAnsi="Book Antiqua" w:cs="Book Antiqua"/>
          <w:sz w:val="18"/>
          <w:szCs w:val="18"/>
        </w:rPr>
      </w:pPr>
      <w:r>
        <w:rPr>
          <w:rFonts w:cs="Book Antiqua" w:ascii="Book Antiqua" w:hAnsi="Book Antiqua"/>
          <w:sz w:val="18"/>
          <w:szCs w:val="18"/>
        </w:rPr>
        <w:t>BONIFICAÇÃO E DESPESAS INDIRETA – BDI</w:t>
      </w:r>
    </w:p>
    <w:p>
      <w:pPr>
        <w:pStyle w:val="Normal"/>
        <w:jc w:val="center"/>
        <w:rPr>
          <w:rFonts w:ascii="Book Antiqua" w:hAnsi="Book Antiqua" w:cs="Book Antiqua"/>
          <w:sz w:val="18"/>
          <w:szCs w:val="18"/>
        </w:rPr>
      </w:pPr>
      <w:r>
        <w:rPr>
          <w:rFonts w:cs="Book Antiqua" w:ascii="Book Antiqua" w:hAnsi="Book Antiqua"/>
          <w:sz w:val="18"/>
          <w:szCs w:val="18"/>
        </w:rPr>
      </w:r>
    </w:p>
    <w:tbl>
      <w:tblPr>
        <w:tblW w:w="5582" w:type="dxa"/>
        <w:jc w:val="left"/>
        <w:tblInd w:w="2192" w:type="dxa"/>
        <w:tblLayout w:type="fixed"/>
        <w:tblCellMar>
          <w:top w:w="0" w:type="dxa"/>
          <w:left w:w="70" w:type="dxa"/>
          <w:bottom w:w="0" w:type="dxa"/>
          <w:right w:w="70" w:type="dxa"/>
        </w:tblCellMar>
        <w:tblLook w:firstRow="1" w:noVBand="1" w:lastRow="0" w:firstColumn="1" w:lastColumn="0" w:noHBand="0" w:val="04a0"/>
      </w:tblPr>
      <w:tblGrid>
        <w:gridCol w:w="4026"/>
        <w:gridCol w:w="1555"/>
      </w:tblGrid>
      <w:tr>
        <w:trPr>
          <w:trHeight w:val="259" w:hRule="atLeast"/>
        </w:trPr>
        <w:tc>
          <w:tcPr>
            <w:tcW w:w="402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rFonts w:ascii="Book Antiqua" w:hAnsi="Book Antiqua" w:cs="Book Antiqua"/>
                <w:b/>
                <w:b/>
                <w:bCs/>
                <w:sz w:val="18"/>
                <w:szCs w:val="18"/>
              </w:rPr>
            </w:pPr>
            <w:r>
              <w:rPr>
                <w:rFonts w:cs="Book Antiqua" w:ascii="Book Antiqua" w:hAnsi="Book Antiqua"/>
                <w:b/>
                <w:bCs/>
                <w:sz w:val="18"/>
                <w:szCs w:val="18"/>
              </w:rPr>
              <w:t>Descrição Despesas</w:t>
            </w:r>
          </w:p>
        </w:tc>
        <w:tc>
          <w:tcPr>
            <w:tcW w:w="1555" w:type="dxa"/>
            <w:tcBorders>
              <w:top w:val="single" w:sz="4" w:space="0" w:color="000000"/>
              <w:bottom w:val="single" w:sz="4" w:space="0" w:color="000000"/>
              <w:right w:val="single" w:sz="4" w:space="0" w:color="000000"/>
            </w:tcBorders>
            <w:vAlign w:val="bottom"/>
          </w:tcPr>
          <w:p>
            <w:pPr>
              <w:pStyle w:val="Normal"/>
              <w:widowControl w:val="false"/>
              <w:jc w:val="center"/>
              <w:rPr>
                <w:rFonts w:ascii="Book Antiqua" w:hAnsi="Book Antiqua" w:cs="Book Antiqua"/>
                <w:b/>
                <w:b/>
                <w:bCs/>
                <w:sz w:val="18"/>
                <w:szCs w:val="18"/>
              </w:rPr>
            </w:pPr>
            <w:r>
              <w:rPr>
                <w:rFonts w:cs="Book Antiqua" w:ascii="Book Antiqua" w:hAnsi="Book Antiqua"/>
                <w:b/>
                <w:bCs/>
                <w:sz w:val="18"/>
                <w:szCs w:val="18"/>
              </w:rPr>
              <w:t>%</w:t>
            </w:r>
          </w:p>
        </w:tc>
      </w:tr>
      <w:tr>
        <w:trPr>
          <w:trHeight w:val="259" w:hRule="atLeast"/>
        </w:trPr>
        <w:tc>
          <w:tcPr>
            <w:tcW w:w="402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b/>
                <w:b/>
                <w:bCs/>
                <w:sz w:val="18"/>
                <w:szCs w:val="18"/>
              </w:rPr>
            </w:pPr>
            <w:r>
              <w:rPr>
                <w:rFonts w:cs="Book Antiqua" w:ascii="Book Antiqua" w:hAnsi="Book Antiqua"/>
                <w:b/>
                <w:bCs/>
                <w:sz w:val="18"/>
                <w:szCs w:val="18"/>
              </w:rPr>
              <w:t>Despesas Indiretas</w:t>
            </w:r>
          </w:p>
        </w:tc>
        <w:tc>
          <w:tcPr>
            <w:tcW w:w="1555" w:type="dxa"/>
            <w:tcBorders>
              <w:top w:val="single" w:sz="4" w:space="0" w:color="000000"/>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 </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 </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 </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Administração Central (AC)</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 </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 </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Seguro (S)</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w:t>
            </w:r>
          </w:p>
        </w:tc>
      </w:tr>
      <w:tr>
        <w:trPr>
          <w:trHeight w:val="259" w:hRule="atLeast"/>
        </w:trPr>
        <w:tc>
          <w:tcPr>
            <w:tcW w:w="4026" w:type="dxa"/>
            <w:tcBorders>
              <w:left w:val="single" w:sz="4" w:space="0" w:color="000000"/>
              <w:bottom w:val="single" w:sz="4" w:space="0" w:color="000000"/>
              <w:right w:val="single" w:sz="4" w:space="0" w:color="000000"/>
            </w:tcBorders>
            <w:vAlign w:val="center"/>
          </w:tcPr>
          <w:p>
            <w:pPr>
              <w:pStyle w:val="Normal"/>
              <w:widowControl w:val="false"/>
              <w:snapToGrid w:val="false"/>
              <w:rPr>
                <w:rFonts w:ascii="Book Antiqua" w:hAnsi="Book Antiqua" w:cs="Book Antiqua"/>
                <w:sz w:val="18"/>
                <w:szCs w:val="18"/>
              </w:rPr>
            </w:pPr>
            <w:r>
              <w:rPr>
                <w:rFonts w:cs="Book Antiqua" w:ascii="Book Antiqua" w:hAnsi="Book Antiqua"/>
                <w:sz w:val="18"/>
                <w:szCs w:val="18"/>
              </w:rPr>
            </w:r>
          </w:p>
        </w:tc>
        <w:tc>
          <w:tcPr>
            <w:tcW w:w="1555" w:type="dxa"/>
            <w:tcBorders>
              <w:bottom w:val="single" w:sz="4" w:space="0" w:color="000000"/>
              <w:right w:val="single" w:sz="4" w:space="0" w:color="000000"/>
            </w:tcBorders>
            <w:vAlign w:val="center"/>
          </w:tcPr>
          <w:p>
            <w:pPr>
              <w:pStyle w:val="Normal"/>
              <w:widowControl w:val="false"/>
              <w:snapToGrid w:val="false"/>
              <w:jc w:val="center"/>
              <w:rPr>
                <w:rFonts w:ascii="Book Antiqua" w:hAnsi="Book Antiqua" w:cs="Book Antiqua"/>
                <w:sz w:val="18"/>
                <w:szCs w:val="18"/>
              </w:rPr>
            </w:pPr>
            <w:r>
              <w:rPr>
                <w:rFonts w:cs="Book Antiqua" w:ascii="Book Antiqua" w:hAnsi="Book Antiqua"/>
                <w:sz w:val="18"/>
                <w:szCs w:val="18"/>
              </w:rPr>
            </w:r>
          </w:p>
        </w:tc>
      </w:tr>
      <w:tr>
        <w:trPr>
          <w:trHeight w:val="259" w:hRule="atLeast"/>
        </w:trPr>
        <w:tc>
          <w:tcPr>
            <w:tcW w:w="4026" w:type="dxa"/>
            <w:tcBorders>
              <w:left w:val="single" w:sz="4" w:space="0" w:color="000000"/>
              <w:bottom w:val="single" w:sz="4" w:space="0" w:color="000000"/>
              <w:right w:val="single" w:sz="4" w:space="0" w:color="000000"/>
            </w:tcBorders>
            <w:vAlign w:val="center"/>
          </w:tcPr>
          <w:p>
            <w:pPr>
              <w:pStyle w:val="Normal"/>
              <w:widowControl w:val="false"/>
              <w:rPr>
                <w:rFonts w:ascii="Book Antiqua" w:hAnsi="Book Antiqua" w:cs="Book Antiqua"/>
                <w:sz w:val="18"/>
                <w:szCs w:val="18"/>
              </w:rPr>
            </w:pPr>
            <w:r>
              <w:rPr>
                <w:rFonts w:cs="Book Antiqua" w:ascii="Book Antiqua" w:hAnsi="Book Antiqua"/>
                <w:sz w:val="18"/>
                <w:szCs w:val="18"/>
              </w:rPr>
              <w:t>Riscos (R)</w:t>
            </w:r>
          </w:p>
        </w:tc>
        <w:tc>
          <w:tcPr>
            <w:tcW w:w="1555" w:type="dxa"/>
            <w:tcBorders>
              <w:bottom w:val="single" w:sz="4" w:space="0" w:color="000000"/>
              <w:right w:val="single" w:sz="4" w:space="0" w:color="000000"/>
            </w:tcBorders>
            <w:vAlign w:val="center"/>
          </w:tcPr>
          <w:p>
            <w:pPr>
              <w:pStyle w:val="Normal"/>
              <w:widowControl w:val="false"/>
              <w:jc w:val="center"/>
              <w:rPr>
                <w:rFonts w:ascii="Book Antiqua" w:hAnsi="Book Antiqua" w:cs="Book Antiqua"/>
                <w:sz w:val="18"/>
                <w:szCs w:val="18"/>
              </w:rPr>
            </w:pPr>
            <w:r>
              <w:rPr>
                <w:rFonts w:cs="Book Antiqua" w:ascii="Book Antiqua" w:hAnsi="Book Antiqua"/>
                <w:sz w:val="18"/>
                <w:szCs w:val="18"/>
              </w:rPr>
              <w:t>----% </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snapToGrid w:val="false"/>
              <w:rPr>
                <w:rFonts w:ascii="Book Antiqua" w:hAnsi="Book Antiqua" w:cs="Book Antiqua"/>
                <w:sz w:val="18"/>
                <w:szCs w:val="18"/>
              </w:rPr>
            </w:pPr>
            <w:r>
              <w:rPr>
                <w:rFonts w:cs="Book Antiqua" w:ascii="Book Antiqua" w:hAnsi="Book Antiqua"/>
                <w:sz w:val="18"/>
                <w:szCs w:val="18"/>
              </w:rPr>
            </w:r>
          </w:p>
        </w:tc>
        <w:tc>
          <w:tcPr>
            <w:tcW w:w="1555" w:type="dxa"/>
            <w:tcBorders>
              <w:bottom w:val="single" w:sz="4" w:space="0" w:color="000000"/>
              <w:right w:val="single" w:sz="4" w:space="0" w:color="000000"/>
            </w:tcBorders>
            <w:vAlign w:val="bottom"/>
          </w:tcPr>
          <w:p>
            <w:pPr>
              <w:pStyle w:val="Normal"/>
              <w:widowControl w:val="false"/>
              <w:snapToGrid w:val="false"/>
              <w:jc w:val="center"/>
              <w:rPr>
                <w:rFonts w:ascii="Book Antiqua" w:hAnsi="Book Antiqua" w:cs="Book Antiqua"/>
                <w:color w:val="0000FF"/>
                <w:sz w:val="18"/>
                <w:szCs w:val="18"/>
              </w:rPr>
            </w:pPr>
            <w:r>
              <w:rPr>
                <w:rFonts w:cs="Book Antiqua" w:ascii="Book Antiqua" w:hAnsi="Book Antiqua"/>
                <w:color w:val="0000FF"/>
                <w:sz w:val="18"/>
                <w:szCs w:val="18"/>
              </w:rPr>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Garantia(G)</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color w:val="0000FF"/>
                <w:sz w:val="18"/>
                <w:szCs w:val="18"/>
              </w:rPr>
            </w:pPr>
            <w:r>
              <w:rPr>
                <w:rFonts w:cs="Book Antiqua" w:ascii="Book Antiqua" w:hAnsi="Book Antiqua"/>
                <w:color w:val="0000FF"/>
                <w:sz w:val="18"/>
                <w:szCs w:val="18"/>
              </w:rPr>
              <w:t> </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snapToGrid w:val="false"/>
              <w:rPr>
                <w:rFonts w:ascii="Book Antiqua" w:hAnsi="Book Antiqua" w:cs="Book Antiqua"/>
                <w:color w:val="0000FF"/>
                <w:sz w:val="18"/>
                <w:szCs w:val="18"/>
              </w:rPr>
            </w:pPr>
            <w:r>
              <w:rPr>
                <w:rFonts w:cs="Book Antiqua" w:ascii="Book Antiqua" w:hAnsi="Book Antiqua"/>
                <w:color w:val="0000FF"/>
                <w:sz w:val="18"/>
                <w:szCs w:val="18"/>
              </w:rPr>
            </w:r>
          </w:p>
        </w:tc>
        <w:tc>
          <w:tcPr>
            <w:tcW w:w="1555" w:type="dxa"/>
            <w:tcBorders>
              <w:bottom w:val="single" w:sz="4" w:space="0" w:color="000000"/>
              <w:right w:val="single" w:sz="4" w:space="0" w:color="000000"/>
            </w:tcBorders>
            <w:vAlign w:val="bottom"/>
          </w:tcPr>
          <w:p>
            <w:pPr>
              <w:pStyle w:val="Normal"/>
              <w:widowControl w:val="false"/>
              <w:snapToGrid w:val="false"/>
              <w:jc w:val="center"/>
              <w:rPr>
                <w:rFonts w:ascii="Book Antiqua" w:hAnsi="Book Antiqua" w:cs="Book Antiqua"/>
                <w:color w:val="0000FF"/>
                <w:sz w:val="18"/>
                <w:szCs w:val="18"/>
              </w:rPr>
            </w:pPr>
            <w:r>
              <w:rPr>
                <w:rFonts w:cs="Book Antiqua" w:ascii="Book Antiqua" w:hAnsi="Book Antiqua"/>
                <w:color w:val="0000FF"/>
                <w:sz w:val="18"/>
                <w:szCs w:val="18"/>
              </w:rPr>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Despesas Financeiras ( DF )</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 </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 </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Lucro ( L )</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 </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color w:val="0000FF"/>
                <w:sz w:val="18"/>
                <w:szCs w:val="18"/>
              </w:rPr>
            </w:pPr>
            <w:r>
              <w:rPr>
                <w:rFonts w:cs="Book Antiqua" w:ascii="Book Antiqua" w:hAnsi="Book Antiqua"/>
                <w:color w:val="0000FF"/>
                <w:sz w:val="18"/>
                <w:szCs w:val="18"/>
              </w:rPr>
              <w:t> </w:t>
            </w:r>
          </w:p>
        </w:tc>
      </w:tr>
      <w:tr>
        <w:trPr>
          <w:trHeight w:val="259" w:hRule="atLeast"/>
        </w:trPr>
        <w:tc>
          <w:tcPr>
            <w:tcW w:w="4026" w:type="dxa"/>
            <w:tcBorders>
              <w:left w:val="single" w:sz="4" w:space="0" w:color="000000"/>
              <w:right w:val="single" w:sz="4" w:space="0" w:color="000000"/>
            </w:tcBorders>
            <w:vAlign w:val="bottom"/>
          </w:tcPr>
          <w:p>
            <w:pPr>
              <w:pStyle w:val="Normal"/>
              <w:widowControl w:val="false"/>
              <w:rPr>
                <w:rFonts w:ascii="Book Antiqua" w:hAnsi="Book Antiqua" w:cs="Book Antiqua"/>
                <w:b/>
                <w:b/>
                <w:bCs/>
                <w:sz w:val="18"/>
                <w:szCs w:val="18"/>
              </w:rPr>
            </w:pPr>
            <w:r>
              <w:rPr>
                <w:rFonts w:cs="Book Antiqua" w:ascii="Book Antiqua" w:hAnsi="Book Antiqua"/>
                <w:b/>
                <w:bCs/>
                <w:sz w:val="18"/>
                <w:szCs w:val="18"/>
              </w:rPr>
              <w:t>Impostos – Tributos (I)</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color w:val="0000FF"/>
                <w:sz w:val="18"/>
                <w:szCs w:val="18"/>
              </w:rPr>
            </w:pPr>
            <w:r>
              <w:rPr>
                <w:rFonts w:cs="Book Antiqua" w:ascii="Book Antiqua" w:hAnsi="Book Antiqua"/>
                <w:color w:val="0000FF"/>
                <w:sz w:val="18"/>
                <w:szCs w:val="18"/>
              </w:rPr>
              <w:t> </w:t>
            </w:r>
          </w:p>
        </w:tc>
      </w:tr>
      <w:tr>
        <w:trPr>
          <w:trHeight w:val="259" w:hRule="atLeast"/>
        </w:trPr>
        <w:tc>
          <w:tcPr>
            <w:tcW w:w="402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COFINS</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PIS</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w:t>
            </w:r>
          </w:p>
        </w:tc>
      </w:tr>
      <w:tr>
        <w:trPr>
          <w:trHeight w:val="259" w:hRule="atLeast"/>
        </w:trPr>
        <w:tc>
          <w:tcPr>
            <w:tcW w:w="4026" w:type="dxa"/>
            <w:tcBorders>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ISS</w:t>
            </w:r>
          </w:p>
        </w:tc>
        <w:tc>
          <w:tcPr>
            <w:tcW w:w="1555" w:type="dxa"/>
            <w:tcBorders>
              <w:bottom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w:t>
            </w:r>
          </w:p>
        </w:tc>
      </w:tr>
      <w:tr>
        <w:trPr>
          <w:trHeight w:val="259" w:hRule="atLeast"/>
        </w:trPr>
        <w:tc>
          <w:tcPr>
            <w:tcW w:w="4026" w:type="dxa"/>
            <w:tcBorders>
              <w:left w:val="single" w:sz="4" w:space="0" w:color="000000"/>
              <w:right w:val="single" w:sz="4" w:space="0" w:color="000000"/>
            </w:tcBorders>
            <w:vAlign w:val="bottom"/>
          </w:tcPr>
          <w:p>
            <w:pPr>
              <w:pStyle w:val="Normal"/>
              <w:widowControl w:val="false"/>
              <w:rPr>
                <w:rFonts w:ascii="Book Antiqua" w:hAnsi="Book Antiqua" w:cs="Book Antiqua"/>
                <w:sz w:val="18"/>
                <w:szCs w:val="18"/>
              </w:rPr>
            </w:pPr>
            <w:r>
              <w:rPr>
                <w:rFonts w:cs="Book Antiqua" w:ascii="Book Antiqua" w:hAnsi="Book Antiqua"/>
                <w:sz w:val="18"/>
                <w:szCs w:val="18"/>
              </w:rPr>
              <w:t>CPRB </w:t>
            </w:r>
          </w:p>
        </w:tc>
        <w:tc>
          <w:tcPr>
            <w:tcW w:w="1555" w:type="dxa"/>
            <w:tcBorders>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 </w:t>
            </w:r>
            <w:r>
              <w:rPr>
                <w:rFonts w:cs="Book Antiqua" w:ascii="Book Antiqua" w:hAnsi="Book Antiqua"/>
                <w:sz w:val="18"/>
                <w:szCs w:val="18"/>
              </w:rPr>
              <w:t>----%</w:t>
            </w:r>
          </w:p>
        </w:tc>
      </w:tr>
      <w:tr>
        <w:trPr>
          <w:trHeight w:val="259" w:hRule="atLeast"/>
        </w:trPr>
        <w:tc>
          <w:tcPr>
            <w:tcW w:w="402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napToGrid w:val="false"/>
              <w:rPr>
                <w:rFonts w:ascii="Book Antiqua" w:hAnsi="Book Antiqua" w:cs="Book Antiqua"/>
                <w:sz w:val="18"/>
                <w:szCs w:val="18"/>
              </w:rPr>
            </w:pPr>
            <w:r>
              <w:rPr>
                <w:rFonts w:cs="Book Antiqua" w:ascii="Book Antiqua" w:hAnsi="Book Antiqua"/>
                <w:sz w:val="18"/>
                <w:szCs w:val="18"/>
              </w:rPr>
            </w:r>
          </w:p>
        </w:tc>
        <w:tc>
          <w:tcPr>
            <w:tcW w:w="1555" w:type="dxa"/>
            <w:tcBorders>
              <w:top w:val="single" w:sz="4" w:space="0" w:color="000000"/>
              <w:right w:val="single" w:sz="4" w:space="0" w:color="000000"/>
            </w:tcBorders>
            <w:vAlign w:val="bottom"/>
          </w:tcPr>
          <w:p>
            <w:pPr>
              <w:pStyle w:val="Normal"/>
              <w:widowControl w:val="false"/>
              <w:jc w:val="center"/>
              <w:rPr>
                <w:rFonts w:ascii="Book Antiqua" w:hAnsi="Book Antiqua" w:cs="Book Antiqua"/>
                <w:sz w:val="18"/>
                <w:szCs w:val="18"/>
              </w:rPr>
            </w:pPr>
            <w:r>
              <w:rPr>
                <w:rFonts w:cs="Book Antiqua" w:ascii="Book Antiqua" w:hAnsi="Book Antiqua"/>
                <w:sz w:val="18"/>
                <w:szCs w:val="18"/>
              </w:rPr>
              <w:t>----%</w:t>
            </w:r>
          </w:p>
        </w:tc>
      </w:tr>
      <w:tr>
        <w:trPr>
          <w:trHeight w:val="259" w:hRule="atLeast"/>
        </w:trPr>
        <w:tc>
          <w:tcPr>
            <w:tcW w:w="402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rPr>
                <w:rFonts w:ascii="Book Antiqua" w:hAnsi="Book Antiqua" w:cs="Book Antiqua"/>
                <w:b/>
                <w:b/>
                <w:bCs/>
                <w:sz w:val="18"/>
                <w:szCs w:val="18"/>
              </w:rPr>
            </w:pPr>
            <w:r>
              <w:rPr>
                <w:rFonts w:cs="Book Antiqua" w:ascii="Book Antiqua" w:hAnsi="Book Antiqua"/>
                <w:b/>
                <w:bCs/>
                <w:sz w:val="18"/>
                <w:szCs w:val="18"/>
              </w:rPr>
              <w:t>Total</w:t>
            </w:r>
          </w:p>
        </w:tc>
        <w:tc>
          <w:tcPr>
            <w:tcW w:w="1555" w:type="dxa"/>
            <w:tcBorders>
              <w:top w:val="single" w:sz="4" w:space="0" w:color="000000"/>
              <w:bottom w:val="single" w:sz="4" w:space="0" w:color="000000"/>
              <w:right w:val="single" w:sz="4" w:space="0" w:color="000000"/>
            </w:tcBorders>
            <w:vAlign w:val="bottom"/>
          </w:tcPr>
          <w:p>
            <w:pPr>
              <w:pStyle w:val="Normal"/>
              <w:widowControl w:val="false"/>
              <w:jc w:val="center"/>
              <w:rPr>
                <w:rFonts w:ascii="Book Antiqua" w:hAnsi="Book Antiqua" w:cs="Book Antiqua"/>
                <w:b/>
                <w:b/>
                <w:bCs/>
                <w:sz w:val="18"/>
                <w:szCs w:val="18"/>
              </w:rPr>
            </w:pPr>
            <w:r>
              <w:rPr>
                <w:rFonts w:cs="Book Antiqua" w:ascii="Book Antiqua" w:hAnsi="Book Antiqua"/>
                <w:b/>
                <w:bCs/>
                <w:sz w:val="18"/>
                <w:szCs w:val="18"/>
              </w:rPr>
              <w:t>------%</w:t>
            </w:r>
          </w:p>
        </w:tc>
      </w:tr>
    </w:tbl>
    <w:p>
      <w:pPr>
        <w:pStyle w:val="Normal"/>
        <w:jc w:val="center"/>
        <w:rPr>
          <w:rFonts w:ascii="Book Antiqua" w:hAnsi="Book Antiqua" w:cs="Book Antiqua"/>
          <w:sz w:val="18"/>
          <w:szCs w:val="18"/>
        </w:rPr>
      </w:pPr>
      <w:r>
        <w:rPr>
          <w:rFonts w:cs="Book Antiqua" w:ascii="Book Antiqua" w:hAnsi="Book Antiqua"/>
          <w:sz w:val="18"/>
          <w:szCs w:val="18"/>
        </w:rPr>
      </w:r>
    </w:p>
    <w:p>
      <w:pPr>
        <w:pStyle w:val="Normal"/>
        <w:rPr>
          <w:lang w:eastAsia="pt-BR"/>
        </w:rPr>
      </w:pPr>
      <w:r>
        <w:rPr>
          <w:lang w:eastAsia="pt-BR"/>
        </w:rPr>
        <mc:AlternateContent>
          <mc:Choice Requires="wps">
            <w:drawing>
              <wp:anchor behindDoc="0" distT="5080" distB="5715" distL="0" distR="635" simplePos="0" locked="0" layoutInCell="0" allowOverlap="1" relativeHeight="174">
                <wp:simplePos x="0" y="0"/>
                <wp:positionH relativeFrom="column">
                  <wp:posOffset>1533525</wp:posOffset>
                </wp:positionH>
                <wp:positionV relativeFrom="paragraph">
                  <wp:posOffset>141605</wp:posOffset>
                </wp:positionV>
                <wp:extent cx="68580" cy="391160"/>
                <wp:effectExtent l="0" t="5080" r="635" b="5715"/>
                <wp:wrapNone/>
                <wp:docPr id="2" name="AutoForma 2"/>
                <a:graphic xmlns:a="http://schemas.openxmlformats.org/drawingml/2006/main">
                  <a:graphicData uri="http://schemas.microsoft.com/office/word/2010/wordprocessingShape">
                    <wps:wsp>
                      <wps:cNvSpPr/>
                      <wps:spPr>
                        <a:xfrm>
                          <a:off x="0" y="0"/>
                          <a:ext cx="68760" cy="391320"/>
                        </a:xfrm>
                        <a:custGeom>
                          <a:avLst/>
                          <a:gdLst/>
                          <a:ahLst/>
                          <a:rect l="l" t="t" r="r" b="b"/>
                          <a:pathLst>
                            <a:path w="110" h="618">
                              <a:moveTo>
                                <a:pt x="109" y="0"/>
                              </a:moveTo>
                              <a:cubicBezTo>
                                <a:pt x="81" y="0"/>
                                <a:pt x="54" y="25"/>
                                <a:pt x="54" y="51"/>
                              </a:cubicBezTo>
                              <a:lnTo>
                                <a:pt x="54" y="257"/>
                              </a:lnTo>
                              <a:cubicBezTo>
                                <a:pt x="54" y="282"/>
                                <a:pt x="27" y="308"/>
                                <a:pt x="0" y="308"/>
                              </a:cubicBezTo>
                              <a:cubicBezTo>
                                <a:pt x="27" y="308"/>
                                <a:pt x="54" y="334"/>
                                <a:pt x="54" y="359"/>
                              </a:cubicBezTo>
                              <a:lnTo>
                                <a:pt x="54" y="565"/>
                              </a:lnTo>
                              <a:cubicBezTo>
                                <a:pt x="54" y="591"/>
                                <a:pt x="81" y="617"/>
                                <a:pt x="109" y="617"/>
                              </a:cubicBezTo>
                            </a:path>
                          </a:pathLst>
                        </a:custGeom>
                        <a:noFill/>
                        <a:ln w="9360">
                          <a:solidFill>
                            <a:srgbClr val="00000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5715" distB="5080" distL="0" distR="635" simplePos="0" locked="0" layoutInCell="0" allowOverlap="1" relativeHeight="175">
                <wp:simplePos x="0" y="0"/>
                <wp:positionH relativeFrom="column">
                  <wp:posOffset>4819650</wp:posOffset>
                </wp:positionH>
                <wp:positionV relativeFrom="paragraph">
                  <wp:posOffset>52705</wp:posOffset>
                </wp:positionV>
                <wp:extent cx="59690" cy="374015"/>
                <wp:effectExtent l="0" t="5715" r="635" b="5080"/>
                <wp:wrapNone/>
                <wp:docPr id="3" name="AutoForma 3"/>
                <a:graphic xmlns:a="http://schemas.openxmlformats.org/drawingml/2006/main">
                  <a:graphicData uri="http://schemas.microsoft.com/office/word/2010/wordprocessingShape">
                    <wps:wsp>
                      <wps:cNvSpPr/>
                      <wps:spPr>
                        <a:xfrm>
                          <a:off x="0" y="0"/>
                          <a:ext cx="59760" cy="374040"/>
                        </a:xfrm>
                        <a:custGeom>
                          <a:avLst/>
                          <a:gdLst/>
                          <a:ahLst/>
                          <a:rect l="l" t="t" r="r" b="b"/>
                          <a:pathLst>
                            <a:path w="96" h="591">
                              <a:moveTo>
                                <a:pt x="0" y="0"/>
                              </a:moveTo>
                              <a:cubicBezTo>
                                <a:pt x="23" y="0"/>
                                <a:pt x="47" y="24"/>
                                <a:pt x="47" y="49"/>
                              </a:cubicBezTo>
                              <a:lnTo>
                                <a:pt x="47" y="245"/>
                              </a:lnTo>
                              <a:cubicBezTo>
                                <a:pt x="47" y="270"/>
                                <a:pt x="71" y="295"/>
                                <a:pt x="95" y="295"/>
                              </a:cubicBezTo>
                              <a:cubicBezTo>
                                <a:pt x="71" y="295"/>
                                <a:pt x="47" y="319"/>
                                <a:pt x="47" y="344"/>
                              </a:cubicBezTo>
                              <a:lnTo>
                                <a:pt x="47" y="540"/>
                              </a:lnTo>
                              <a:cubicBezTo>
                                <a:pt x="47" y="565"/>
                                <a:pt x="23" y="590"/>
                                <a:pt x="0" y="590"/>
                              </a:cubicBezTo>
                            </a:path>
                          </a:pathLst>
                        </a:custGeom>
                        <a:noFill/>
                        <a:ln w="9360">
                          <a:solidFill>
                            <a:srgbClr val="000000"/>
                          </a:solidFill>
                          <a:miter/>
                        </a:ln>
                      </wps:spPr>
                      <wps:style>
                        <a:lnRef idx="0"/>
                        <a:fillRef idx="0"/>
                        <a:effectRef idx="0"/>
                        <a:fontRef idx="minor"/>
                      </wps:style>
                      <wps:bodyPr/>
                    </wps:wsp>
                  </a:graphicData>
                </a:graphic>
              </wp:anchor>
            </w:drawing>
          </mc:Choice>
          <mc:Fallback>
            <w:pict/>
          </mc:Fallback>
        </mc:AlternateContent>
      </w:r>
    </w:p>
    <w:p>
      <w:pPr>
        <w:pStyle w:val="Normal"/>
        <w:jc w:val="center"/>
        <w:rPr/>
      </w:pPr>
      <w:r>
        <w:rPr>
          <w:rFonts w:cs="Book Antiqua" w:ascii="Book Antiqua" w:hAnsi="Book Antiqua"/>
          <w:sz w:val="18"/>
          <w:szCs w:val="18"/>
        </w:rPr>
        <w:t xml:space="preserve">BDI = </w:t>
      </w:r>
      <w:r>
        <w:rPr>
          <w:rFonts w:cs="Book Antiqua" w:ascii="Book Antiqua" w:hAnsi="Book Antiqua"/>
          <w:sz w:val="18"/>
          <w:szCs w:val="18"/>
          <w:u w:val="single"/>
        </w:rPr>
        <w:t>(1+AC+S+R+G)(1+DF)(1+L)</w:t>
      </w:r>
      <w:r>
        <w:rPr>
          <w:rFonts w:cs="Book Antiqua" w:ascii="Book Antiqua" w:hAnsi="Book Antiqua"/>
          <w:sz w:val="18"/>
          <w:szCs w:val="18"/>
        </w:rPr>
        <w:t xml:space="preserve">  - 1</w:t>
      </w:r>
    </w:p>
    <w:p>
      <w:pPr>
        <w:pStyle w:val="Normal"/>
        <w:jc w:val="center"/>
        <w:rPr>
          <w:rFonts w:ascii="Book Antiqua" w:hAnsi="Book Antiqua" w:cs="Book Antiqua"/>
          <w:sz w:val="18"/>
          <w:szCs w:val="18"/>
        </w:rPr>
      </w:pPr>
      <w:r>
        <w:rPr>
          <w:rFonts w:cs="Book Antiqua" w:ascii="Book Antiqua" w:hAnsi="Book Antiqua"/>
          <w:sz w:val="18"/>
          <w:szCs w:val="18"/>
        </w:rPr>
        <w:t>(1 - l)</w:t>
      </w:r>
    </w:p>
    <w:p>
      <w:pPr>
        <w:pStyle w:val="Normal"/>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p>
      <w:pPr>
        <w:pStyle w:val="Normal"/>
        <w:rPr>
          <w:rFonts w:ascii="Book Antiqua" w:hAnsi="Book Antiqua" w:cs="Book Antiqua"/>
          <w:sz w:val="18"/>
          <w:szCs w:val="18"/>
        </w:rPr>
      </w:pPr>
      <w:r>
        <w:rPr>
          <w:rFonts w:cs="Book Antiqua" w:ascii="Book Antiqua" w:hAnsi="Book Antiqua"/>
          <w:sz w:val="18"/>
          <w:szCs w:val="18"/>
        </w:rPr>
      </w:r>
    </w:p>
    <w:tbl>
      <w:tblPr>
        <w:tblW w:w="864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1256"/>
        <w:gridCol w:w="7390"/>
      </w:tblGrid>
      <w:tr>
        <w:trPr>
          <w:trHeight w:val="255" w:hRule="atLeast"/>
        </w:trPr>
        <w:tc>
          <w:tcPr>
            <w:tcW w:w="1256" w:type="dxa"/>
            <w:tcBorders/>
            <w:vAlign w:val="bottom"/>
          </w:tcPr>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Onde:</w:t>
            </w:r>
          </w:p>
        </w:tc>
        <w:tc>
          <w:tcPr>
            <w:tcW w:w="7390" w:type="dxa"/>
            <w:tcBorders/>
            <w:vAlign w:val="bottom"/>
          </w:tcPr>
          <w:p>
            <w:pPr>
              <w:pStyle w:val="Normal"/>
              <w:widowControl w:val="false"/>
              <w:snapToGrid w:val="false"/>
              <w:jc w:val="center"/>
              <w:rPr>
                <w:rFonts w:ascii="Book Antiqua" w:hAnsi="Book Antiqua" w:cs="Book Antiqua"/>
                <w:color w:val="0000FF"/>
                <w:sz w:val="18"/>
                <w:szCs w:val="18"/>
              </w:rPr>
            </w:pPr>
            <w:r>
              <w:rPr>
                <w:rFonts w:cs="Book Antiqua" w:ascii="Book Antiqua" w:hAnsi="Book Antiqua"/>
                <w:color w:val="0000FF"/>
                <w:sz w:val="18"/>
                <w:szCs w:val="18"/>
              </w:rPr>
            </w:r>
          </w:p>
        </w:tc>
      </w:tr>
      <w:tr>
        <w:trPr>
          <w:trHeight w:val="255" w:hRule="atLeast"/>
        </w:trPr>
        <w:tc>
          <w:tcPr>
            <w:tcW w:w="8646" w:type="dxa"/>
            <w:gridSpan w:val="2"/>
            <w:tcBorders/>
            <w:vAlign w:val="bottom"/>
          </w:tcPr>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AC = taxa de rateio da Administração Central;</w:t>
            </w:r>
          </w:p>
        </w:tc>
      </w:tr>
      <w:tr>
        <w:trPr>
          <w:trHeight w:val="255" w:hRule="atLeast"/>
        </w:trPr>
        <w:tc>
          <w:tcPr>
            <w:tcW w:w="8646" w:type="dxa"/>
            <w:gridSpan w:val="2"/>
            <w:tcBorders/>
            <w:vAlign w:val="bottom"/>
          </w:tcPr>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S = Taxa de seguro</w:t>
            </w:r>
          </w:p>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R = taxa de risco;</w:t>
            </w:r>
          </w:p>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G = Taxa de garantias</w:t>
            </w:r>
          </w:p>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DF = taxa das despesas financeiras;</w:t>
            </w:r>
          </w:p>
        </w:tc>
      </w:tr>
      <w:tr>
        <w:trPr>
          <w:trHeight w:val="255" w:hRule="atLeast"/>
        </w:trPr>
        <w:tc>
          <w:tcPr>
            <w:tcW w:w="8646" w:type="dxa"/>
            <w:gridSpan w:val="2"/>
            <w:tcBorders/>
            <w:vAlign w:val="bottom"/>
          </w:tcPr>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L = taxa de lucro.</w:t>
            </w:r>
          </w:p>
        </w:tc>
      </w:tr>
      <w:tr>
        <w:trPr>
          <w:trHeight w:val="255" w:hRule="atLeast"/>
        </w:trPr>
        <w:tc>
          <w:tcPr>
            <w:tcW w:w="8646" w:type="dxa"/>
            <w:gridSpan w:val="2"/>
            <w:tcBorders/>
            <w:vAlign w:val="bottom"/>
          </w:tcPr>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I = taxa de tributos;</w:t>
            </w:r>
          </w:p>
        </w:tc>
      </w:tr>
      <w:tr>
        <w:trPr>
          <w:trHeight w:val="255" w:hRule="atLeast"/>
        </w:trPr>
        <w:tc>
          <w:tcPr>
            <w:tcW w:w="8646" w:type="dxa"/>
            <w:gridSpan w:val="2"/>
            <w:tcBorders/>
            <w:vAlign w:val="bottom"/>
          </w:tcPr>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 xml:space="preserve">CPRB = Contribuição previdenciária sobre a receia bruta (incluir 4,5% a partir de 01/12/2015, de acordo </w:t>
            </w:r>
          </w:p>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r>
          </w:p>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t>com o caso)</w:t>
            </w:r>
          </w:p>
          <w:p>
            <w:pPr>
              <w:pStyle w:val="Normal"/>
              <w:widowControl w:val="false"/>
              <w:rPr>
                <w:rFonts w:ascii="Book Antiqua" w:hAnsi="Book Antiqua" w:cs="Book Antiqua"/>
                <w:color w:val="0000FF"/>
                <w:sz w:val="18"/>
                <w:szCs w:val="18"/>
              </w:rPr>
            </w:pPr>
            <w:r>
              <w:rPr>
                <w:rFonts w:cs="Book Antiqua" w:ascii="Book Antiqua" w:hAnsi="Book Antiqua"/>
                <w:color w:val="0000FF"/>
                <w:sz w:val="18"/>
                <w:szCs w:val="18"/>
              </w:rPr>
            </w:r>
          </w:p>
        </w:tc>
      </w:tr>
    </w:tbl>
    <w:p>
      <w:pPr>
        <w:pStyle w:val="LONormal"/>
        <w:jc w:val="both"/>
        <w:rPr>
          <w:rFonts w:ascii="Book Antiqua" w:hAnsi="Book Antiqua" w:cs="Book Antiqua"/>
          <w:sz w:val="18"/>
          <w:szCs w:val="18"/>
        </w:rPr>
      </w:pPr>
      <w:r>
        <w:rPr>
          <w:rFonts w:cs="Book Antiqua" w:ascii="Book Antiqua" w:hAnsi="Book Antiqua"/>
          <w:sz w:val="18"/>
          <w:szCs w:val="18"/>
        </w:rPr>
      </w:r>
    </w:p>
    <w:p>
      <w:pPr>
        <w:pStyle w:val="LONormal"/>
        <w:jc w:val="both"/>
        <w:rPr>
          <w:rFonts w:ascii="Book Antiqua" w:hAnsi="Book Antiqua" w:cs="Book Antiqua"/>
          <w:sz w:val="18"/>
          <w:szCs w:val="18"/>
        </w:rPr>
      </w:pPr>
      <w:r>
        <w:rPr>
          <w:rFonts w:cs="Book Antiqua" w:ascii="Book Antiqua" w:hAnsi="Book Antiqua"/>
          <w:sz w:val="18"/>
          <w:szCs w:val="18"/>
        </w:rPr>
      </w:r>
    </w:p>
    <w:p>
      <w:pPr>
        <w:pStyle w:val="LONormal"/>
        <w:jc w:val="both"/>
        <w:rPr>
          <w:rFonts w:ascii="Book Antiqua" w:hAnsi="Book Antiqua" w:cs="Book Antiqua"/>
          <w:sz w:val="18"/>
          <w:szCs w:val="18"/>
        </w:rPr>
      </w:pPr>
      <w:r>
        <w:rPr>
          <w:rFonts w:cs="Book Antiqua" w:ascii="Book Antiqua" w:hAnsi="Book Antiqua"/>
          <w:sz w:val="18"/>
          <w:szCs w:val="18"/>
        </w:rPr>
      </w:r>
    </w:p>
    <w:p>
      <w:pPr>
        <w:pStyle w:val="Normal"/>
        <w:suppressAutoHyphens w:val="false"/>
        <w:rPr>
          <w:rFonts w:ascii="Book Antiqua" w:hAnsi="Book Antiqua" w:cs="Book Antiqua"/>
          <w:b/>
          <w:b/>
          <w:bCs/>
          <w:sz w:val="18"/>
          <w:szCs w:val="18"/>
        </w:rPr>
      </w:pPr>
      <w:r>
        <w:rPr>
          <w:rFonts w:cs="Book Antiqua" w:ascii="Book Antiqua" w:hAnsi="Book Antiqua"/>
          <w:b/>
          <w:bCs/>
          <w:sz w:val="18"/>
          <w:szCs w:val="18"/>
        </w:rPr>
      </w:r>
      <w:r>
        <w:br w:type="page"/>
      </w:r>
    </w:p>
    <w:p>
      <w:pPr>
        <w:pStyle w:val="Ttulo21"/>
        <w:pBdr>
          <w:top w:val="single" w:sz="4" w:space="1" w:color="000000"/>
          <w:left w:val="single" w:sz="4" w:space="4" w:color="000000"/>
          <w:bottom w:val="single" w:sz="4" w:space="1" w:color="000000"/>
          <w:right w:val="single" w:sz="4" w:space="4" w:color="000000"/>
        </w:pBdr>
        <w:shd w:val="clear" w:color="auto" w:fill="D9D9D9"/>
        <w:rPr>
          <w:rFonts w:ascii="Book Antiqua" w:hAnsi="Book Antiqua" w:cs="Book Antiqua"/>
          <w:sz w:val="18"/>
          <w:szCs w:val="18"/>
        </w:rPr>
      </w:pPr>
      <w:r>
        <w:rPr>
          <w:rFonts w:cs="Book Antiqua" w:ascii="Book Antiqua" w:hAnsi="Book Antiqua"/>
          <w:sz w:val="18"/>
          <w:szCs w:val="18"/>
        </w:rPr>
        <w:t>ANEXO IX – MINUTA DE CONTRATO</w:t>
      </w:r>
    </w:p>
    <w:p>
      <w:pPr>
        <w:pStyle w:val="Normal"/>
        <w:tabs>
          <w:tab w:val="clear" w:pos="708"/>
          <w:tab w:val="left" w:pos="8576" w:leader="none"/>
          <w:tab w:val="left" w:pos="10419" w:leader="none"/>
        </w:tabs>
        <w:jc w:val="center"/>
        <w:rPr>
          <w:rFonts w:ascii="Book Antiqua" w:hAnsi="Book Antiqua" w:cs="Book Antiqua"/>
          <w:b/>
          <w:b/>
          <w:color w:val="FF0000"/>
          <w:sz w:val="18"/>
          <w:szCs w:val="18"/>
        </w:rPr>
      </w:pPr>
      <w:r>
        <w:rPr>
          <w:rFonts w:cs="Book Antiqua" w:ascii="Book Antiqua" w:hAnsi="Book Antiqua"/>
          <w:b/>
          <w:color w:val="FF0000"/>
          <w:sz w:val="18"/>
          <w:szCs w:val="18"/>
        </w:rPr>
      </w:r>
    </w:p>
    <w:p>
      <w:pPr>
        <w:pStyle w:val="Normal"/>
        <w:jc w:val="both"/>
        <w:rPr>
          <w:rFonts w:ascii="Book Antiqua" w:hAnsi="Book Antiqua" w:cs="Book Antiqua"/>
          <w:sz w:val="18"/>
          <w:szCs w:val="18"/>
        </w:rPr>
      </w:pPr>
      <w:r>
        <w:rPr>
          <w:rFonts w:cs="Book Antiqua" w:ascii="Book Antiqua" w:hAnsi="Book Antiqua"/>
          <w:sz w:val="18"/>
          <w:szCs w:val="18"/>
        </w:rPr>
        <w:t>CONTRATO Nº ____ /2026 QUE, ENTRE SI, CELEBRAM A PREFEITURA MUNICIPAL DE RONDONÓPOLIS/MT E A EMPRESA __________________________________, PARA OS FINS QUE SE ESPECÍFICA.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Aos............ dias do mês de .......................... de 2026, de um lado a PREFEITURA MUNICIPAL DE RONDONÓPOLIS, Estado de Mato Grosso, inscrita no CNPJ/MF sob o nº _________________, neste ato representado por seu Prefeito, XXXXXXX, brasileiro(a), XXXXXXXXXX, R.G. nº __________, CPF nº ___________, no uso de suas atribuições, neste ato denominado simplesmente CONTRATANTE, e de outro lado, a XXXXXXXXXXXXXX, inscrita no CNPJ/MF sob o nº ______________, com sede na Cidade de Rondonópolis/MT, neste ato representada por seu XXXXXXXXXXX, __________, _____________, portador da carteira de identidade nº _______, e do CPF/MF n.º __________, denominada simplesmente CONTRATADA, tendo em vista o resultado da CONCORRÊNCIA  nº. ___/2026, do Tipo Menor Preço global do Lote único, Regime de Execução Empreitada por preço unitário, consoante e decidido no processo administrativo nº _______________, resolvem celebrar o presente Contrato de Prestação de Serviços sujeitando-se às normas da Lei de Licitações e Contratos Administrativos nº 14.133, de 1º de abril de 2021, alterações e Decreto Municipal nº 11.685, de 18 de setembro de 2023 demais legislações pertinentes, com suas alterações posteriores, mediante as seguintes cláusulas e condições: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PRIMEIRA – DO OBJETO</w:t>
      </w:r>
    </w:p>
    <w:p>
      <w:pPr>
        <w:pStyle w:val="ListParagraph"/>
        <w:numPr>
          <w:ilvl w:val="1"/>
          <w:numId w:val="31"/>
        </w:numPr>
        <w:ind w:left="0" w:hanging="0"/>
        <w:jc w:val="both"/>
        <w:rPr>
          <w:rFonts w:ascii="Book Antiqua" w:hAnsi="Book Antiqua" w:cs="Book Antiqua"/>
          <w:b/>
          <w:b/>
          <w:bCs/>
          <w:sz w:val="18"/>
          <w:szCs w:val="18"/>
          <w:shd w:fill="FFFF00" w:val="clear"/>
        </w:rPr>
      </w:pPr>
      <w:r>
        <w:rPr>
          <w:rFonts w:cs="Book Antiqua" w:ascii="Book Antiqua" w:hAnsi="Book Antiqua"/>
          <w:sz w:val="18"/>
          <w:szCs w:val="18"/>
        </w:rPr>
        <w:t xml:space="preserve">– </w:t>
      </w:r>
      <w:r>
        <w:rPr>
          <w:rFonts w:cs="Book Antiqua" w:ascii="Book Antiqua" w:hAnsi="Book Antiqua"/>
          <w:sz w:val="18"/>
          <w:szCs w:val="18"/>
        </w:rPr>
        <w:t xml:space="preserve">o contrato tem por objeto: </w:t>
      </w:r>
      <w:r>
        <w:rPr>
          <w:rFonts w:cs="Book Antiqua" w:ascii="Book Antiqua" w:hAnsi="Book Antiqua"/>
          <w:b/>
          <w:bCs/>
          <w:sz w:val="18"/>
          <w:szCs w:val="18"/>
          <w:shd w:fill="FFFF00" w:val="clear"/>
        </w:rPr>
        <w:t>CONSTRUÇÃO DA PRAÇA LINEAR IRMÃ BERNADA, LOCALIZADA NA RUA IRMÃ BERNADA, BAIRRO CONJUNTO SÃO JOSÉ, EM RONDONÓPOLIS/MT.</w:t>
      </w:r>
    </w:p>
    <w:p>
      <w:pPr>
        <w:pStyle w:val="Normal"/>
        <w:jc w:val="both"/>
        <w:rPr/>
      </w:pPr>
      <w:r>
        <w:rPr/>
      </w:r>
    </w:p>
    <w:p>
      <w:pPr>
        <w:pStyle w:val="Normal"/>
        <w:jc w:val="both"/>
        <w:rPr>
          <w:rFonts w:ascii="Book Antiqua" w:hAnsi="Book Antiqua" w:cs="Book Antiqua"/>
          <w:sz w:val="18"/>
          <w:szCs w:val="18"/>
        </w:rPr>
      </w:pPr>
      <w:r>
        <w:rPr>
          <w:rFonts w:cs="Book Antiqua" w:ascii="Book Antiqua" w:hAnsi="Book Antiqua"/>
          <w:sz w:val="18"/>
          <w:szCs w:val="18"/>
        </w:rPr>
        <w:t>1.2 – Este Contrato se vincula ao EDITAL DE CONCORRÊNCIA nº. 26/</w:t>
      </w:r>
      <w:bookmarkStart w:id="1" w:name="_GoBack"/>
      <w:r>
        <w:rPr>
          <w:rFonts w:cs="Book Antiqua" w:ascii="Book Antiqua" w:hAnsi="Book Antiqua"/>
          <w:sz w:val="18"/>
          <w:szCs w:val="18"/>
        </w:rPr>
        <w:t>2025</w:t>
      </w:r>
      <w:bookmarkEnd w:id="1"/>
      <w:r>
        <w:rPr>
          <w:rFonts w:cs="Book Antiqua" w:ascii="Book Antiqua" w:hAnsi="Book Antiqua"/>
          <w:sz w:val="18"/>
          <w:szCs w:val="18"/>
        </w:rPr>
        <w:t xml:space="preserve"> e seus anexos, e à proposta comercial apresentada pela Contratada para o referido processo licitatório.</w:t>
      </w:r>
    </w:p>
    <w:p>
      <w:pPr>
        <w:pStyle w:val="Normal"/>
        <w:jc w:val="both"/>
        <w:rPr>
          <w:rFonts w:ascii="Book Antiqua" w:hAnsi="Book Antiqua" w:cs="Book Antiqua"/>
          <w:sz w:val="18"/>
          <w:szCs w:val="18"/>
        </w:rPr>
      </w:pPr>
      <w:r>
        <w:rPr>
          <w:rFonts w:cs="Book Antiqua" w:ascii="Book Antiqua" w:hAnsi="Book Antiqua"/>
          <w:sz w:val="18"/>
          <w:szCs w:val="18"/>
        </w:rPr>
        <w:t>1.3 – Para execução do objeto do presente instrumento, a CONTRATANTE pagará a CONTRATADA o valor total de R$ (......................................).</w:t>
      </w:r>
    </w:p>
    <w:p>
      <w:pPr>
        <w:pStyle w:val="Normal"/>
        <w:jc w:val="both"/>
        <w:rPr>
          <w:rFonts w:ascii="Book Antiqua" w:hAnsi="Book Antiqua" w:cs="Book Antiqua"/>
          <w:sz w:val="18"/>
          <w:szCs w:val="18"/>
        </w:rPr>
      </w:pPr>
      <w:r>
        <w:rPr>
          <w:rFonts w:cs="Book Antiqua" w:ascii="Book Antiqua" w:hAnsi="Book Antiqua"/>
          <w:sz w:val="18"/>
          <w:szCs w:val="18"/>
        </w:rPr>
        <w:t>1.4 – A contratada terá o prazo de até 05 (cinco) dias úteis para assinatura do contrato, contados do dia seguinte ao da convocação.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SEGUNDA – DO REGIME DE EXECUÇÃO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2.1 – O objeto do presente contrato será executado sob a forma de execução indireta, em regime de empreitada por preço unitário, conforme especificações técnicas, quantitativos e condições estabelecidas no Projeto Básico, Estudo Técnico Preliminar (ETP), cronograma físico-financeiro e demais anexos que integram este contrato.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b/>
          <w:sz w:val="18"/>
          <w:szCs w:val="18"/>
        </w:rPr>
        <w:t>CLÁUSULA TERCEIRA – DA VIGÊNCIA E EXECUÇÃO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 xml:space="preserve">3.1 – </w:t>
      </w:r>
      <w:r>
        <w:rPr>
          <w:rFonts w:cs="Book Antiqua" w:ascii="Book Antiqua" w:hAnsi="Book Antiqua"/>
          <w:sz w:val="18"/>
          <w:szCs w:val="18"/>
          <w:shd w:fill="FFFF00" w:val="clear"/>
        </w:rPr>
        <w:t>A vigência do presente Contrato</w:t>
      </w:r>
      <w:r>
        <w:rPr>
          <w:rFonts w:cs="Book Antiqua" w:ascii="Book Antiqua" w:hAnsi="Book Antiqua"/>
          <w:b/>
          <w:sz w:val="18"/>
          <w:szCs w:val="18"/>
          <w:shd w:fill="FFFF00" w:val="clear"/>
        </w:rPr>
        <w:t xml:space="preserve"> será de 11 (onze) meses, sendo que o prazo para execução do serviço será de 08 (oito) meses, </w:t>
      </w:r>
      <w:r>
        <w:rPr>
          <w:rFonts w:cs="Book Antiqua" w:ascii="Book Antiqua" w:hAnsi="Book Antiqua"/>
          <w:sz w:val="18"/>
          <w:szCs w:val="18"/>
          <w:shd w:fill="FFFF00" w:val="clear"/>
        </w:rPr>
        <w:t xml:space="preserve">contados a partir da emissão da Ordem de Serviços, admitida sua prorrogação nos termos do CAPÍTULO V  da Lei nº 14.133 de 2021, mediante termo aditivo/apostilamento, persistindo as obrigações necessárias, especialmente as decorrentes de correção de defeitos.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QUARTA – DA RESPONSABILIDADE DO CONTRATANTE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4.1 – Para garantir o fiel cumprimento do objeto contratado são obrigações das partes a observâncias de todas as cláusulas contidas neste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4.2 Dar condições para a Contratada executar o objeto do contrato de acordo com os padrões estabelecidos.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4.3 Exercer a fiscalização dos serviços.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4.4 A fiscalização não altera ou diminui a responsabilidade da Contratada na execução do objeto, nem dos custos inerentes ao refazimento dos serviços.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4.5 Receber e conferir o objeto do contrato, consoante as disposições estabelecidas.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4.6 Efetuar os pagamentos na forma convencionada na CLÁUSULA NONA.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4.7 Permitir que os funcionários da CONTRATADA tenham acesso aos locais de execução dos serviços.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4.8 Notificar, por escrito, à contratada, a ocorrência de eventuais imperfeições no curso de execução dos serviços, fixando prazo para a sua correção, com total ônus à CONTRATADA.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4.9 Fornecer atestados de capacidade técnica quando solicitado, desde que atendidas as obrigações contratuais.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4.10 Fornecer à CONTRATADA um jogo completo, em mídia “cd rom, pendrive, etc”, dos Projetos Executivos e os respectivos arquivos eletrônicos para reprodução pela CONTRATADA, necessários ao cumprimento do objeto em questão.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4.11 Designar por meio de portaria o fiscal do contrato, com conhecimento técnico.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4.12 Outras obrigações definidas no Projeto Básico Executivo e minuta de contrato constante do Anexo VI deste Edital.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QUINTA – DO LOCAL, DAS CONDIÇÕES DE EXECUÇÃO E RECEBIMENTO DO OBJETO.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 O local e as condições de execução, bem como a forma de recebimento do objeto contratado, obedecerão ao seguinte: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 O objeto do presente contrato deverá ser executado pela Contratada no.......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5.1.2 O início da execução dos serviços deverá ocorrer após a emissão de ordem de serviço.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5.1.3 O objeto do contrato será recebido pela Contratante, nos termos da Lei nº 14.133 de 2021, dispostos no inciso I de seu artigo 140:</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5.1.3.1 Provisoriamente, pelo responsável por seu acompanhamento e fiscalização, mediante termo circunstanciado, assinado pelas partes em até 15 (quinze)dias da comunicação escrita do contratado.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5.1.3.2 Definitivamente, por servidor ou comissão designada pela autoridade competente, mediante termo circunstanciado, assinado pelas partes, após o decurso do prazo de observação, ou vistoria que comprove a adequação do objeto aos termos contratuais, observado o disposto no art. 140 da Lei 14.133 de 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5.1.4 Os serviços a serem executados preveem obediência às Normas Técnicas da ABNT e às normas dos fabricantes dos materiais e equipamentos.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5.1.4.1 As condições de manutenção e assistência técnica estão vinculadas ao cumprimento das obrigações de contratada no tocante as exigências para o atendimento do objeto, ate o seu recebimento definitivo.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5.1.5 A execução de todos os serviços obedecerá rigorosamente às indicações constantes do Projeto Básico, definido no item 1.1 do Edital.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5.1.6 Ao final dos serviços, o local deverá ser entregue limpo e livre de entulhos.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5.1.7 Sem prejuízo da plena responsabilidade da Contratada perante a Contratante ou terceiros, os serviços estarão sujeitos a mais ampla e irrestrita fiscalização, a qualquer hora, em toda a área abrangida pelos serviços.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5.1.8 A fiscalização da Contratante solucionará todos os impasses quanto à substituição ou não de peças ou materiais, no todo ou em parte irrecuperáveis, ficando a seu cargo os critérios para tal. Qualquer alteração feita ao Projeto Básico, após aprovação da CONTRATANTE, deverá ser registrada no livro “Diário de Obras”. Ressalta-se que tal livro não poderá ser retirado, em hipótese alguma, do canteiro de obras/serviços até que o objeto pactuado por este contrato seja concluído e entregue mediante TERMO DE RECEBIMENTO DEFINITIVO DA OBRA/SERVIÇO.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5.1.9 A Contratada facilitará o acesso da fiscalização da Contratante a todas as dependências da obra/SERVIÇO. Antes de iniciar qualquer serviço, a Contratada pedirá anuência expressa da fiscalização da Contratante.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5.1.10 À fiscalização da Contratante fica assegurado o direito de: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5.1.10.1 Exigir o cumprimento de todos os itens e subitens do Projeto Básico.</w:t>
      </w:r>
    </w:p>
    <w:p>
      <w:pPr>
        <w:pStyle w:val="Normal"/>
        <w:jc w:val="both"/>
        <w:rPr>
          <w:rFonts w:ascii="Book Antiqua" w:hAnsi="Book Antiqua" w:cs="Book Antiqua"/>
          <w:sz w:val="18"/>
          <w:szCs w:val="18"/>
        </w:rPr>
      </w:pPr>
      <w:r>
        <w:rPr>
          <w:rFonts w:cs="Book Antiqua" w:ascii="Book Antiqua" w:hAnsi="Book Antiqua"/>
          <w:sz w:val="18"/>
          <w:szCs w:val="18"/>
        </w:rPr>
        <w:t>5.1.10.2 Rejeitar todo e qualquer serviço mal-executado ou material de qualidade inferior ou diferente ao especificado em Projeto Básico, estipulando prazo para a sua retirada e refazimento do serviço, sob ônus da CONTRATADA.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5.1.11 A presença da fiscalização da Contratante na obra/SERVIÇO não diminuirá a responsabilidade da Contratada.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5.1.12 Fiscalização da Contratante acompanhará a execução dos serviços e examinará os materiais recebidos na obra/SERVIÇO, antes de suas aplicações, decidindo sobre aceitação ou rejeição dos mesmos.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5.1.13 As exigências da Fiscalização da Contratante fundamentar-se-ão neste CONTRATO, nas legislações e normas vigentes, no Projeto Básico fornecido pela CONTRATANTE à CONTRATADA e nas regras de boa técnica.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5.1.14 Caberá ao fiscal da Contratante o dever de: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5.1.14.1 Fazer cumprir todas as disposições das especificações constantes do Projeto Básico e deste CONTRATO.</w:t>
      </w:r>
    </w:p>
    <w:p>
      <w:pPr>
        <w:pStyle w:val="Normal"/>
        <w:jc w:val="both"/>
        <w:rPr/>
      </w:pPr>
      <w:r>
        <w:rPr>
          <w:rFonts w:cs="Book Antiqua" w:ascii="Book Antiqua" w:hAnsi="Book Antiqua"/>
          <w:sz w:val="18"/>
          <w:szCs w:val="18"/>
        </w:rPr>
        <w:t>5.1.14.2 Decidir sobre as divergências de projeto e especificações, motivando a escolha tomada.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5.1.15 Cabe à Contratada zelar pela proteção dos empregados e de terceiros, durante a execução das obras/serviços, seguindo as recomendações expressas na legislação pertinente e normas regulamentadoras quanto à engenharia de segurança e medicina do trabalho.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5.1.16 Em especial, os serviços objeto do presente CONTRATO deverá ser executados levando-se em conta o estipulado na NR-7 e NR-18, com vistas à Saúde, segurança e integridade física do trabalhador. A CONTRATADA deverá fornecer a todos os seus empregados todo os Equipamentos de Proteção Individual (EPI’s) e coletiva (EPC) necessários à sua segurança no trabalho, sem que seja imputado qualquer custo ao empregado ou à CONTRATANTE.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5.1.17 A Contratada deverá manter na direção da obra/serviço um profissional habilitado, conforme apresentado em fase licitatória, com conhecimento que lhe permita a execução de todos os serviços, além dos demais elementos necessários à perfeita administração.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5.1.18 A Administração da obra/serviço deverá ser realizada por 1 (um) engenheiro, podendo prestar serviços de fiscalização por meio período e 1 (um) Encarregado Geral, devendo este prestar serviços em período integral.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5.1.19 Caberá à Contratada providenciar o pessoal necessário à execução dos serviços, serventes e oficiais especializados, de competência comprovada, para obtenção de resultados na execução dos serviços.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5.1.20 As especificações para a execução do objeto do presente contrato são aquelas constantes do Projeto Básico disponibilizado quando da publicação do Edital a que este CONTRATO se vincula, às quais a Contratada declara ter pleno conhecimento e está obrigada a cumprir fielmente.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SEXTA – DAS RESPONSABILIDADE DA CONTRATADA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rFonts w:ascii="Book Antiqua" w:hAnsi="Book Antiqua" w:eastAsia="Book Antiqua" w:cs="Book Antiqua"/>
          <w:sz w:val="18"/>
          <w:szCs w:val="18"/>
        </w:rPr>
      </w:pPr>
      <w:r>
        <w:rPr>
          <w:rFonts w:eastAsia="Book Antiqua" w:cs="Book Antiqua" w:ascii="Book Antiqua" w:hAnsi="Book Antiqua"/>
          <w:sz w:val="18"/>
          <w:szCs w:val="18"/>
        </w:rPr>
        <w:t>6.1 São de Responsabilidade do contratado:</w:t>
      </w:r>
    </w:p>
    <w:p>
      <w:pPr>
        <w:pStyle w:val="Normal"/>
        <w:tabs>
          <w:tab w:val="clear" w:pos="708"/>
          <w:tab w:val="left" w:pos="0" w:leader="none"/>
          <w:tab w:val="left" w:pos="123" w:leader="none"/>
        </w:tabs>
        <w:jc w:val="both"/>
        <w:rPr>
          <w:rFonts w:ascii="Book Antiqua" w:hAnsi="Book Antiqua" w:eastAsia="Book Antiqua" w:cs="Book Antiqua"/>
          <w:sz w:val="18"/>
          <w:szCs w:val="18"/>
        </w:rPr>
      </w:pPr>
      <w:r>
        <w:rPr>
          <w:rFonts w:eastAsia="Book Antiqua"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 </w:t>
      </w:r>
      <w:r>
        <w:rPr>
          <w:rFonts w:cs="Book Antiqua" w:ascii="Book Antiqua" w:hAnsi="Book Antiqua"/>
          <w:sz w:val="18"/>
          <w:szCs w:val="18"/>
        </w:rPr>
        <w:t>Executar fielmente os serviços, compreendendo, inclusive, o fornecimento de mão de obra e materiais necessários à execução do objeto, de acordo com as especificações técnicas constantes do Projeto Básico desenvolvido pela Contratante, o qual será entregue no início do serviço, e demais termos prescritos no edital de licitação e no presente CONTRATO.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6.1.2 </w:t>
      </w:r>
      <w:r>
        <w:rPr>
          <w:rFonts w:cs="Book Antiqua" w:ascii="Book Antiqua" w:hAnsi="Book Antiqua"/>
          <w:sz w:val="18"/>
          <w:szCs w:val="18"/>
        </w:rPr>
        <w:t>Reparar, corrigir, remover, reconstruir ou substituir, as suas expensas, no total ou em parte, o objeto do contrato em que se verificarem vícios, defeitos ou incorreções resultantes da execução ou de materiais empregados.</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6.1.3 </w:t>
      </w:r>
      <w:r>
        <w:rPr>
          <w:rFonts w:cs="Book Antiqua" w:ascii="Book Antiqua" w:hAnsi="Book Antiqua"/>
          <w:sz w:val="18"/>
          <w:szCs w:val="18"/>
        </w:rPr>
        <w:t>Providenciar o livro “DIÁRIO DE OBRAS”, para as anotações da fiscalização da Contratante e do Responsável Técnico da Contratada, no tocante ao andamento dos serviços contratados e problemas detectados, com o estabelecimento, inclusive, de prazo para sua correção.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 </w:t>
      </w:r>
      <w:r>
        <w:rPr>
          <w:rFonts w:eastAsia="Book Antiqua" w:cs="Book Antiqua" w:ascii="Book Antiqua" w:hAnsi="Book Antiqua"/>
          <w:sz w:val="18"/>
          <w:szCs w:val="18"/>
        </w:rPr>
        <w:t xml:space="preserve">6.1.4 </w:t>
      </w:r>
      <w:r>
        <w:rPr>
          <w:rFonts w:cs="Book Antiqua" w:ascii="Book Antiqua" w:hAnsi="Book Antiqua"/>
          <w:sz w:val="18"/>
          <w:szCs w:val="18"/>
        </w:rPr>
        <w:t>Promover diligências junto aos órgãos competentes e/ou Concessionárias de Serviços Públicos, para as respectivas aprovações de projetos, quando for o caso. Ressalta-se, ainda, que caberá à CONTRATADA, todo o ônus e/ou providências cabíveis para remanejamento de instalações junto à locação da obra/serviço.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6.1.5 </w:t>
      </w:r>
      <w:r>
        <w:rPr>
          <w:rFonts w:cs="Book Antiqua" w:ascii="Book Antiqua" w:hAnsi="Book Antiqua"/>
          <w:sz w:val="18"/>
          <w:szCs w:val="18"/>
        </w:rPr>
        <w:t>Possuir corpo técnico qualificado em conformidade com o porte da obra/serviço contratada e Anotações de Responsabilidade Técnicas apresentadas em processo licitatório a que este CONTRATO se vincula.</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6.1.6 </w:t>
      </w:r>
      <w:r>
        <w:rPr>
          <w:rFonts w:cs="Book Antiqua" w:ascii="Book Antiqua" w:hAnsi="Book Antiqua"/>
          <w:sz w:val="18"/>
          <w:szCs w:val="18"/>
        </w:rPr>
        <w:t>Manter durante toda a execução do contrato, em compatibilidade com as obrigações por ela assumidas, todas as condições de habilitação e qualificação exigidas para a presente contratação.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6.1.7 </w:t>
      </w:r>
      <w:r>
        <w:rPr>
          <w:rFonts w:cs="Book Antiqua" w:ascii="Book Antiqua" w:hAnsi="Book Antiqua"/>
          <w:sz w:val="18"/>
          <w:szCs w:val="18"/>
        </w:rPr>
        <w:t>Executar os serviços de acordo com as especificações técnicas e prazos determinados no Edital, como também de acordo com o Cronograma Físico-Financeiro. Caso esta obrigação não seja cumprida dentro do prazo, a Contratada ficará sujeita à multa estabelecida na CLÁUSULA DÉCIMA TERCEIRA deste CONTRATO.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6.1.8 </w:t>
      </w:r>
      <w:r>
        <w:rPr>
          <w:rFonts w:cs="Book Antiqua" w:ascii="Book Antiqua" w:hAnsi="Book Antiqua"/>
          <w:sz w:val="18"/>
          <w:szCs w:val="18"/>
        </w:rPr>
        <w:t>Manter a equipe executora dos serviços convenientemente uniformizada e com identificação por meio de crachá.</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6.1.9 </w:t>
      </w:r>
      <w:r>
        <w:rPr>
          <w:rFonts w:cs="Book Antiqua" w:ascii="Book Antiqua" w:hAnsi="Book Antiqua"/>
          <w:sz w:val="18"/>
          <w:szCs w:val="18"/>
        </w:rPr>
        <w:t>Propiciar o acesso da fiscalização da CONTRATANTE aos locais onde se realizarão os serviços, para verificação do efetivo cumprimento das condições pactuadas.</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6.1.10 </w:t>
      </w:r>
      <w:r>
        <w:rPr>
          <w:rFonts w:cs="Book Antiqua" w:ascii="Book Antiqua" w:hAnsi="Book Antiqua"/>
          <w:sz w:val="18"/>
          <w:szCs w:val="18"/>
        </w:rPr>
        <w:t>A atuação da fiscalização da CONTRATANTE não exime a Contratada de sua total e exclusiva responsabilidade sobre a qualidade dos serviços.</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6.1.11 </w:t>
      </w:r>
      <w:r>
        <w:rPr>
          <w:rFonts w:cs="Book Antiqua" w:ascii="Book Antiqua" w:hAnsi="Book Antiqua"/>
          <w:sz w:val="18"/>
          <w:szCs w:val="18"/>
        </w:rPr>
        <w:t>Empregar boa técnica na execução dos serviços, com materiais de primeira qualidade, de acordo com o previsto no Edital e Projeto Básico.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6.1.12 </w:t>
      </w:r>
      <w:r>
        <w:rPr>
          <w:rFonts w:cs="Book Antiqua" w:ascii="Book Antiqua" w:hAnsi="Book Antiqua"/>
          <w:sz w:val="18"/>
          <w:szCs w:val="18"/>
        </w:rPr>
        <w:t>Executar todos os serviços complementares julgados necessários para que o local tenha condições de uso satisfatório.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6.1.13 </w:t>
      </w:r>
      <w:r>
        <w:rPr>
          <w:rFonts w:cs="Book Antiqua" w:ascii="Book Antiqua" w:hAnsi="Book Antiqua"/>
          <w:sz w:val="18"/>
          <w:szCs w:val="18"/>
        </w:rPr>
        <w:t>Corrigir e/ou refazer os serviços e substituir os materiais, às suas expensas, não aprovados pela fiscalização da Contratante, caso os mesmos não atendam às especificações técnicas constantes do Projeto Básico.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6.1.14 </w:t>
      </w:r>
      <w:r>
        <w:rPr>
          <w:rFonts w:cs="Book Antiqua" w:ascii="Book Antiqua" w:hAnsi="Book Antiqua"/>
          <w:sz w:val="18"/>
          <w:szCs w:val="18"/>
        </w:rPr>
        <w:t>Fornece, além dos materiais especificados e mão de obra especializada, todas as ferramentas necessárias, ficando responsável por seu transporte e guarda.</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6.1.15 </w:t>
      </w:r>
      <w:r>
        <w:rPr>
          <w:rFonts w:cs="Book Antiqua" w:ascii="Book Antiqua" w:hAnsi="Book Antiqua"/>
          <w:sz w:val="18"/>
          <w:szCs w:val="18"/>
        </w:rPr>
        <w:t>Fornecer a seus funcionários uniformes e equipamentos de proteção individual (EPI’s) e coletiva adequados à execução dos serviços e em conformidade com as normas de segurança vigentes.</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6.1.16 </w:t>
      </w:r>
      <w:r>
        <w:rPr>
          <w:rFonts w:cs="Book Antiqua" w:ascii="Book Antiqua" w:hAnsi="Book Antiqua"/>
          <w:sz w:val="18"/>
          <w:szCs w:val="18"/>
        </w:rPr>
        <w:t>Responsabilizar-se por quaisquer danos ao patrimônio da Contratante, causados por seus funcionários em virtude da execução dos serviços.</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6.1.17 </w:t>
      </w:r>
      <w:r>
        <w:rPr>
          <w:rFonts w:cs="Book Antiqua" w:ascii="Book Antiqua" w:hAnsi="Book Antiqua"/>
          <w:sz w:val="18"/>
          <w:szCs w:val="18"/>
        </w:rPr>
        <w:t>Executar limpeza geral, ao final da execução dos serviços, devendo o espaço ser entregue em perfeitas condições de ocupação e uso.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6.1.18 </w:t>
      </w:r>
      <w:r>
        <w:rPr>
          <w:rFonts w:cs="Book Antiqua" w:ascii="Book Antiqua" w:hAnsi="Book Antiqua"/>
          <w:sz w:val="18"/>
          <w:szCs w:val="18"/>
        </w:rPr>
        <w:t>Obedecer sempre às recomendações dos fabricantes na aplicação dos materiais industrializados e dos de emprego especial, cabendo à CONTRATADA, em qualquer caso, a responsabilidade técnica e os ônus decorrentes de sua má aplicação.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6.1.19 </w:t>
      </w:r>
      <w:r>
        <w:rPr>
          <w:rFonts w:cs="Book Antiqua" w:ascii="Book Antiqua" w:hAnsi="Book Antiqua"/>
          <w:sz w:val="18"/>
          <w:szCs w:val="18"/>
        </w:rPr>
        <w:t>Proceder à substituição, em até 24 horas a partir da comunicação, de materiais, ferramentas ou equipamentos julgados pela fiscalização da Contratante como inadequados para a execução dos serviços.</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6.1.20 </w:t>
      </w:r>
      <w:r>
        <w:rPr>
          <w:rFonts w:cs="Book Antiqua" w:ascii="Book Antiqua" w:hAnsi="Book Antiqua"/>
          <w:sz w:val="18"/>
          <w:szCs w:val="18"/>
        </w:rPr>
        <w:t>Entregar o local objeto do contrato sem instalações provisórias e livres de entulhos ou quaisquer outros elementos que possam impedir a utilização imediata das unidades. A Contratada deve comunicar, por escrito, à fiscalização da Contratante, a conclusão dos serviços, para que a mesma proceda à vistoria do serviço/obra com vistas à sua aceitação provisória. Todas as superfícies deverão estar impecavelmente limpas.</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6.1.21 </w:t>
      </w:r>
      <w:r>
        <w:rPr>
          <w:rFonts w:cs="Book Antiqua" w:ascii="Book Antiqua" w:hAnsi="Book Antiqua"/>
          <w:sz w:val="18"/>
          <w:szCs w:val="18"/>
        </w:rPr>
        <w:t>Recuperar áreas ou bens não incluídos no seu trabalho e deixá-los em seu estado original, caso venha, como resultado de suas operações, a danificá-los.</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6.1.22 </w:t>
      </w:r>
      <w:r>
        <w:rPr>
          <w:rFonts w:cs="Book Antiqua" w:ascii="Book Antiqua" w:hAnsi="Book Antiqua"/>
          <w:sz w:val="18"/>
          <w:szCs w:val="18"/>
        </w:rPr>
        <w:t>Responder pelas despesas relativas a encargos trabalhistas, de seguro de acidentes, impostos, contribuições previdenciárias e quaisquer outras que forem devidas e referentes aos serviços executados por seus empregados, uma vez que os mesmos não têm nenhum vínculo empregatício com a Contratante.</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6.1.23 </w:t>
      </w:r>
      <w:r>
        <w:rPr>
          <w:rFonts w:cs="Book Antiqua" w:ascii="Book Antiqua" w:hAnsi="Book Antiqua"/>
          <w:sz w:val="18"/>
          <w:szCs w:val="18"/>
        </w:rPr>
        <w:t>Responder, integralmente, por perdas e danos que vier a causar à Contratante ou a terceiros em razão de ação ou omissão, dolosa ou culposa, sua ou dos seus prepostos, independentemente de outras cominações contratuais ou legais a que estiver sujeita.</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6.1.24 </w:t>
      </w:r>
      <w:r>
        <w:rPr>
          <w:rFonts w:cs="Book Antiqua" w:ascii="Book Antiqua" w:hAnsi="Book Antiqua"/>
          <w:sz w:val="18"/>
          <w:szCs w:val="18"/>
        </w:rPr>
        <w:t>Empregar, na execução dos serviços, apenas materiais de primeira qualidade e que obedeçam às especificações técnicas, sob pena de impugnação destes pela fiscalização da CONTRATANTE.</w:t>
      </w:r>
    </w:p>
    <w:p>
      <w:pPr>
        <w:pStyle w:val="Normal"/>
        <w:tabs>
          <w:tab w:val="clear" w:pos="708"/>
          <w:tab w:val="left" w:pos="0" w:leader="none"/>
          <w:tab w:val="left" w:pos="123" w:leader="none"/>
        </w:tabs>
        <w:jc w:val="both"/>
        <w:rPr>
          <w:rFonts w:ascii="Book Antiqua" w:hAnsi="Book Antiqua"/>
          <w:sz w:val="18"/>
          <w:szCs w:val="18"/>
        </w:rPr>
      </w:pPr>
      <w:r>
        <w:rPr>
          <w:rFonts w:ascii="Book Antiqua" w:hAnsi="Book Antiqua"/>
          <w:sz w:val="18"/>
          <w:szCs w:val="18"/>
        </w:rPr>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t>6.1.25 A Obrigação de manter, durante toda a execução do contrato, em compatibilidade com as obrigações por ele assumidas, todas as condições exigidas para habilitação e qualificação do processo licitatório.</w:t>
      </w:r>
    </w:p>
    <w:p>
      <w:pPr>
        <w:pStyle w:val="Normal"/>
        <w:tabs>
          <w:tab w:val="clear" w:pos="708"/>
          <w:tab w:val="left" w:pos="0" w:leader="none"/>
          <w:tab w:val="left" w:pos="123" w:leader="none"/>
        </w:tabs>
        <w:jc w:val="both"/>
        <w:rPr>
          <w:rFonts w:ascii="Book Antiqua" w:hAnsi="Book Antiqua" w:cs="Book Antiqua"/>
          <w:sz w:val="18"/>
          <w:szCs w:val="18"/>
        </w:rPr>
      </w:pPr>
      <w:r>
        <w:rPr>
          <w:rFonts w:cs="Book Antiqua" w:ascii="Book Antiqua" w:hAnsi="Book Antiqua"/>
          <w:sz w:val="18"/>
          <w:szCs w:val="18"/>
        </w:rPr>
      </w:r>
    </w:p>
    <w:p>
      <w:pPr>
        <w:pStyle w:val="Normal"/>
        <w:tabs>
          <w:tab w:val="clear" w:pos="708"/>
          <w:tab w:val="left" w:pos="0" w:leader="none"/>
          <w:tab w:val="left" w:pos="123" w:leader="none"/>
        </w:tabs>
        <w:jc w:val="both"/>
        <w:rPr/>
      </w:pPr>
      <w:r>
        <w:rPr>
          <w:rFonts w:eastAsia="Book Antiqua" w:cs="Book Antiqua" w:ascii="Book Antiqua" w:hAnsi="Book Antiqua"/>
          <w:sz w:val="18"/>
          <w:szCs w:val="18"/>
        </w:rPr>
        <w:t xml:space="preserve">6.2 </w:t>
      </w:r>
      <w:r>
        <w:rPr>
          <w:rFonts w:cs="Book Antiqua" w:ascii="Book Antiqua" w:hAnsi="Book Antiqua"/>
          <w:sz w:val="18"/>
          <w:szCs w:val="18"/>
        </w:rPr>
        <w:t>Prestar manutenção da construção, durante o período de garantia, da seguinte forma: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cs="Book Antiqua" w:ascii="Book Antiqua" w:hAnsi="Book Antiqua"/>
          <w:sz w:val="18"/>
          <w:szCs w:val="18"/>
        </w:rPr>
        <w:t>6.2.1 Iniciar o atendimento em no máximo 1 (um) dia útil, contados da comunicação do(s) defeito(s) pela CONTRATANTE, considerando o horário de expediente da Secretaria Municipal de Infraestrutura.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6.2.1.1 Concluir os serviços de manutenção no prazo determinado pela CONTRATANTE.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6.2.2 Caso o atendimento do chamado e/ou a conclusão dos serviços de manutenção não sejam realizados dentro do prazo, a Contratada ficará sujeita à multa estabelecida na CLÁUSULA DÉCIMA TERCEIRA deste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6.2.3 A Contratante não aceitará, sob nenhum pretexto, a transferência de responsabilidade da Contratada para outras entidades, sejam fabricantes, técnicos ou quaisquer outros.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6.2.3.1 A Contratada poderá realizar a subcontratação no limite de até 25% (vinte e cinco por cento) do contrato, das atividades que não constituam o escopo principal do objeto.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6.2.4. A contratada responderá durante o prazo irredutível de cinco anos pela solidez e segurança do trabalho, assim em razão dos materiais como do solo, conforme prevê no código civil brasileiro em seu art. 618, caput.</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6.2.5. Os profissionais indicados pelo licitante para fins de comprovação da capacitação técnico-profissional de que trata o inciso I, do artigo 67 da Lei 14.133 de 2021 deverão participar da obra/serviço objeto da licitação, admitindo-se a substituição por profissionais de experiência equivalente ou superior, desde que aprovada pela administração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6.2.6. A execução de todos os serviços será condicionada as demais condições relacionadas ao Projeto Básico Executivo.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6.2.7. A CONTRATADA tem a obrigação de as exigências de reserva de cargos prevista em lei, bem como em outras normas específicas, para pessoa com deficiência, para reabilitado da Previdência Social e para aprendiz;</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6.3 A Contratada obriga-se a providenciar no prazo máximo de 05 (cinco) dias, contados da data da assinatura do presente CONTRATO, os documentos a seguir relacionados: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6.3.1 Garantia, na forma disposta na CLÁUSULA DÉCIMA SEGUNDA.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6.3.2 A não apresentação dos documentos no prazo estabelecido nesta Cláusula caracteriza infração, sujeitando a Contratada às penalidades previstas no presente instrumento, a critério da Contratante.</w:t>
      </w:r>
    </w:p>
    <w:p>
      <w:pPr>
        <w:pStyle w:val="Normal"/>
        <w:jc w:val="both"/>
        <w:rPr>
          <w:rFonts w:ascii="Book Antiqua" w:hAnsi="Book Antiqua" w:eastAsia="Book Antiqua" w:cs="Book Antiqua"/>
          <w:sz w:val="18"/>
          <w:szCs w:val="18"/>
        </w:rPr>
      </w:pPr>
      <w:r>
        <w:rPr>
          <w:rFonts w:eastAsia="Book Antiqua" w:cs="Book Antiqua" w:ascii="Book Antiqua" w:hAnsi="Book Antiqua"/>
          <w:sz w:val="18"/>
          <w:szCs w:val="18"/>
        </w:rPr>
        <w:t xml:space="preserve"> </w:t>
      </w:r>
    </w:p>
    <w:p>
      <w:pPr>
        <w:pStyle w:val="Normal"/>
        <w:jc w:val="both"/>
        <w:rPr>
          <w:rFonts w:ascii="Book Antiqua" w:hAnsi="Book Antiqua" w:cs="Book Antiqua"/>
          <w:b/>
          <w:b/>
          <w:sz w:val="18"/>
          <w:szCs w:val="18"/>
        </w:rPr>
      </w:pPr>
      <w:r>
        <w:rPr>
          <w:rFonts w:cs="Book Antiqua" w:ascii="Book Antiqua" w:hAnsi="Book Antiqua"/>
          <w:b/>
          <w:sz w:val="18"/>
          <w:szCs w:val="18"/>
        </w:rPr>
        <w:t>CLÁUSULA SÉTIMA – DOS ENCARGOS CONTRATUAIS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7.1 A Contratada é responsável por todas as providências e obrigações referentes à legislação específica de acidentes de trabalho quando de ocorrências em que forem vítimas os seus funcionários, no desempenho dos serviços ou em conexão com eles.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7.2 A Contratada, como única e exclusiva responsável pela execução do serviço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7.3 À Contratada, caberá as despesas peculiares às empreitadas por preço unitário, notadamente serviços gerais, transporte horizontal e vertical, mão de obra e materiais, inclusive para instalações provisórias, e todos os encargos sociais, trabalhistas, previdenciários e fiscais decorrentes, bem como as relativas aos registros junto ao CREA. Cabe ainda à Contratada, por todo o período de execução das obras/serviços, manter os seguros que por Lei se tornarem exigíveis.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7.4 Por se tratar de empreitada por preço unitário,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a responsabilidade por seu pagamento, nem poderá onerar o objeto do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OITAVA – DO VALOR</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8.1 Ao presente contrato é dado o valor unitário de R$______, __ (__________).</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NONA – DAS CONDIÇÕES DE PAGAMENTO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9.1 O pagamento será efetuado à empresa contratada no prazo de até 30 dias corridos, de acordo com o cronograma físico-financeiro constante do Projeto Básico, contados da data do atesto da área competente da Prefeitura, aposto nos documentos de cobrança, e de acordo com a evolução do serviço, conforme cronograma físico-financeiro apresentado pela Secretaria Municipal de Infraestrutura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9.1.1 O prazo para realização da liquidação será de 15 (quinze) dias, contados da data do atesto da área competente da Prefeitura, podendo ser prorrogado conforme cronograma de pagamentos da Secretaria Municipal de Finanças.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9.2 Não serão efetuados quaisquer pagamentos à contratada enquanto perdurar pendência de liquidação de obrigações em virtude de penalidades ou inadimplência contratual.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9.3 A liberação do pagamento ficará condicionada a consulta prévia ao Sistema de Cadastro de Fornecedores da Prefeitura, para verificação da situação da contratada em relação às condições de habilitação e qualificação exigidas na licitação, cujo resultado será impresso e juntado aos autos do processo.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eastAsia="Book Antiqua" w:cs="Book Antiqua" w:ascii="Book Antiqua" w:hAnsi="Book Antiqua"/>
          <w:sz w:val="18"/>
          <w:szCs w:val="18"/>
        </w:rPr>
        <w:t xml:space="preserve"> </w:t>
      </w:r>
      <w:r>
        <w:rPr>
          <w:rFonts w:cs="Book Antiqua" w:ascii="Book Antiqua" w:hAnsi="Book Antiqua"/>
          <w:sz w:val="18"/>
          <w:szCs w:val="18"/>
        </w:rPr>
        <w:t>9.4 A contratante pagará a(s) Nota(s) Fiscal (is) / Fatura(s) somente à contratada, vedada sua negociação com terceiros ou sua colocação em cobrança bancária.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9.5 A empresa contratada deverá fazer constar na(s) Nota(s) Fiscal (is) / Fatura(s) correspondente(s), emitida(s) sem rasura, e em letra legível, o número de sua conta-corrente, o nome do Banco e a respectiva Agência.</w:t>
      </w:r>
    </w:p>
    <w:p>
      <w:pPr>
        <w:pStyle w:val="Normal"/>
        <w:jc w:val="both"/>
        <w:rPr>
          <w:rFonts w:ascii="Book Antiqua" w:hAnsi="Book Antiqua" w:cs="Book Antiqua"/>
          <w:sz w:val="18"/>
          <w:szCs w:val="18"/>
        </w:rPr>
      </w:pPr>
      <w:r>
        <w:rPr>
          <w:rFonts w:cs="Book Antiqua" w:ascii="Book Antiqua" w:hAnsi="Book Antiqua"/>
          <w:sz w:val="18"/>
          <w:szCs w:val="18"/>
        </w:rPr>
        <w:t>9.6 A Secretaria Municipal de infraestrutura, somente atestará a execução dos serviços e liberará a(s) Nota(s) Fiscal (is) / Fatura(s) para pagamento, quando cumpridas, pela Contratada, todas as condições pactuadas e cumpridas eventuais pendências.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9.7 Havendo erro na(s) Nota(s) Fiscal (is) / Fatura(s)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para a Contratante.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9.8 Os pagamentos serão efetuados por etapas de serviços executados, de acordo com o cronograma físico-financeiro e planilha orçamentária apresentada neste processo licitatório e aprovada pela Secretaria Municipal de Infraestrutura, não se admitindo em nenhuma hipótese, o pagamento de materiais entregues no local da prestação do serviço.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9.9 Para efeito de pagamento das etapas de serviços executados, será observado o que estabelecem as legislações vigentes do INSS e FGTS quanto aos procedimentos de retenção, recolhimento e fiscalizações relativas aos encargos previdenciários.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9.10 O Índice de atualização monetária a ser utilizado no respectivo contrato será o Índice Nacional de Custo da Construção (INCC), com a data base do orçamento estimado pela Administração. Os requisitos de atualizações monetárias entre a data de adimplemento e efetivo pagamento estarão sujeitos ao Índice de Preço ao Consumidor Amplo – IPCA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 DOS ACRÉSCIMOS E/OU SUPRESSÕES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10.1 Nos termos do art. 125, da Lei n° 14.133, de 2021, a Contratada ficará obrigada a aceitar, nas mesmas condições contratuais, os acréscimos ou supressões que se fizerem necessários, até o limite legal do valor inicial atualizado do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10.2 A equação econômica- financeira será restabelecida por meio de aplicação do índice INCC – Índice Nacional de Custo da Construção, tendo como data base o início da contagem do prazo de 01 (um) ano da elaboração do orçamento da administração, inclusive para os casos inferiores a 12 (doze) meses.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PRIMEIRA – DA DOTAÇÃO ORÇAMENTÁRIA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11.1 As despesas decorrentes da execução do objeto do presente CONTRATO no exercício de 2026, no valor de R$ ________ (_____________), correrão à conta do orçamento da Contratante, consignados através dos seguintes elementos:</w:t>
      </w:r>
    </w:p>
    <w:p>
      <w:pPr>
        <w:pStyle w:val="Corpodetexto23"/>
        <w:spacing w:lineRule="exact" w:line="240"/>
        <w:rPr>
          <w:rFonts w:ascii="Book Antiqua" w:hAnsi="Book Antiqua" w:cs="Book Antiqua"/>
          <w:b/>
          <w:b/>
          <w:sz w:val="18"/>
          <w:szCs w:val="18"/>
          <w:shd w:fill="FFFF00" w:val="clear"/>
        </w:rPr>
      </w:pPr>
      <w:r>
        <w:rPr>
          <w:rFonts w:cs="Book Antiqua" w:ascii="Book Antiqua" w:hAnsi="Book Antiqua"/>
          <w:b/>
          <w:sz w:val="18"/>
          <w:szCs w:val="18"/>
          <w:shd w:fill="FFFF00" w:val="clear"/>
        </w:rPr>
      </w:r>
    </w:p>
    <w:tbl>
      <w:tblPr>
        <w:tblW w:w="5000" w:type="pct"/>
        <w:jc w:val="left"/>
        <w:tblInd w:w="-5" w:type="dxa"/>
        <w:tblLayout w:type="fixed"/>
        <w:tblCellMar>
          <w:top w:w="55" w:type="dxa"/>
          <w:left w:w="55" w:type="dxa"/>
          <w:bottom w:w="55" w:type="dxa"/>
          <w:right w:w="55" w:type="dxa"/>
        </w:tblCellMar>
        <w:tblLook w:firstRow="1" w:noVBand="1" w:lastRow="0" w:firstColumn="1" w:lastColumn="0" w:noHBand="0" w:val="04a0"/>
      </w:tblPr>
      <w:tblGrid>
        <w:gridCol w:w="2696"/>
        <w:gridCol w:w="7023"/>
      </w:tblGrid>
      <w:tr>
        <w:trPr/>
        <w:tc>
          <w:tcPr>
            <w:tcW w:w="9719" w:type="dxa"/>
            <w:gridSpan w:val="2"/>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pPr>
            <w:r>
              <w:rPr>
                <w:b/>
                <w:bCs/>
              </w:rPr>
              <w:t>CLASSIFICAÇÃO ORÇAMENTÁRIA</w:t>
            </w:r>
          </w:p>
        </w:tc>
      </w:tr>
      <w:tr>
        <w:trPr/>
        <w:tc>
          <w:tcPr>
            <w:tcW w:w="2696" w:type="dxa"/>
            <w:tcBorders>
              <w:left w:val="single" w:sz="4" w:space="0" w:color="000000"/>
              <w:bottom w:val="single" w:sz="4" w:space="0" w:color="000000"/>
            </w:tcBorders>
          </w:tcPr>
          <w:p>
            <w:pPr>
              <w:pStyle w:val="Contedodatabela"/>
              <w:widowControl w:val="false"/>
              <w:jc w:val="both"/>
              <w:rPr/>
            </w:pPr>
            <w:r>
              <w:rPr/>
              <w:t xml:space="preserve">ÓRGÃO </w:t>
            </w:r>
          </w:p>
        </w:tc>
        <w:tc>
          <w:tcPr>
            <w:tcW w:w="7023" w:type="dxa"/>
            <w:tcBorders>
              <w:left w:val="single" w:sz="4" w:space="0" w:color="000000"/>
              <w:bottom w:val="single" w:sz="4" w:space="0" w:color="000000"/>
              <w:right w:val="single" w:sz="4" w:space="0" w:color="000000"/>
            </w:tcBorders>
          </w:tcPr>
          <w:p>
            <w:pPr>
              <w:pStyle w:val="Contedodatabela"/>
              <w:widowControl w:val="false"/>
              <w:jc w:val="both"/>
              <w:rPr/>
            </w:pPr>
            <w:r>
              <w:rPr/>
              <w:t xml:space="preserve">02 – PREFEITURA MUNICIPAL DE RONDONÓPOLIS </w:t>
            </w:r>
          </w:p>
        </w:tc>
      </w:tr>
      <w:tr>
        <w:trPr/>
        <w:tc>
          <w:tcPr>
            <w:tcW w:w="2696" w:type="dxa"/>
            <w:tcBorders>
              <w:left w:val="single" w:sz="4" w:space="0" w:color="000000"/>
              <w:bottom w:val="single" w:sz="4" w:space="0" w:color="000000"/>
            </w:tcBorders>
          </w:tcPr>
          <w:p>
            <w:pPr>
              <w:pStyle w:val="Contedodatabela"/>
              <w:widowControl w:val="false"/>
              <w:jc w:val="both"/>
              <w:rPr/>
            </w:pPr>
            <w:r>
              <w:rPr/>
              <w:t>UNIDADE</w:t>
            </w:r>
          </w:p>
        </w:tc>
        <w:tc>
          <w:tcPr>
            <w:tcW w:w="7023" w:type="dxa"/>
            <w:tcBorders>
              <w:left w:val="single" w:sz="4" w:space="0" w:color="000000"/>
              <w:bottom w:val="single" w:sz="4" w:space="0" w:color="000000"/>
              <w:right w:val="single" w:sz="4" w:space="0" w:color="000000"/>
            </w:tcBorders>
          </w:tcPr>
          <w:p>
            <w:pPr>
              <w:pStyle w:val="Contedodatabela"/>
              <w:widowControl w:val="false"/>
              <w:jc w:val="both"/>
              <w:rPr/>
            </w:pPr>
            <w:r>
              <w:rPr/>
              <w:t xml:space="preserve">016 – Secretaria Municipal de Esporte e Lazer </w:t>
            </w:r>
          </w:p>
        </w:tc>
      </w:tr>
      <w:tr>
        <w:trPr/>
        <w:tc>
          <w:tcPr>
            <w:tcW w:w="2696" w:type="dxa"/>
            <w:tcBorders>
              <w:left w:val="single" w:sz="4" w:space="0" w:color="000000"/>
              <w:bottom w:val="single" w:sz="4" w:space="0" w:color="000000"/>
            </w:tcBorders>
          </w:tcPr>
          <w:p>
            <w:pPr>
              <w:pStyle w:val="Contedodatabela"/>
              <w:widowControl w:val="false"/>
              <w:rPr/>
            </w:pPr>
            <w:r>
              <w:rPr/>
              <w:t xml:space="preserve">FUNÇÃO PROGRAMÁTICA </w:t>
            </w:r>
          </w:p>
        </w:tc>
        <w:tc>
          <w:tcPr>
            <w:tcW w:w="7023" w:type="dxa"/>
            <w:tcBorders>
              <w:left w:val="single" w:sz="4" w:space="0" w:color="000000"/>
              <w:bottom w:val="single" w:sz="4" w:space="0" w:color="000000"/>
              <w:right w:val="single" w:sz="4" w:space="0" w:color="000000"/>
            </w:tcBorders>
          </w:tcPr>
          <w:p>
            <w:pPr>
              <w:pStyle w:val="Contedodatabela"/>
              <w:widowControl w:val="false"/>
              <w:rPr/>
            </w:pPr>
            <w:r>
              <w:rPr/>
              <w:t>27.813.2211.1068 – Revitalização, Construção e Reformas de Espaços de Esporte e Lazer</w:t>
            </w:r>
          </w:p>
        </w:tc>
      </w:tr>
      <w:tr>
        <w:trPr/>
        <w:tc>
          <w:tcPr>
            <w:tcW w:w="2696" w:type="dxa"/>
            <w:tcBorders>
              <w:left w:val="single" w:sz="4" w:space="0" w:color="000000"/>
              <w:bottom w:val="single" w:sz="4" w:space="0" w:color="000000"/>
            </w:tcBorders>
          </w:tcPr>
          <w:p>
            <w:pPr>
              <w:pStyle w:val="Contedodatabela"/>
              <w:widowControl w:val="false"/>
              <w:jc w:val="both"/>
              <w:rPr/>
            </w:pPr>
            <w:r>
              <w:rPr/>
              <w:t xml:space="preserve">DESPESA </w:t>
            </w:r>
          </w:p>
        </w:tc>
        <w:tc>
          <w:tcPr>
            <w:tcW w:w="7023" w:type="dxa"/>
            <w:tcBorders>
              <w:left w:val="single" w:sz="4" w:space="0" w:color="000000"/>
              <w:bottom w:val="single" w:sz="4" w:space="0" w:color="000000"/>
              <w:right w:val="single" w:sz="4" w:space="0" w:color="000000"/>
            </w:tcBorders>
          </w:tcPr>
          <w:p>
            <w:pPr>
              <w:pStyle w:val="Contedodatabela"/>
              <w:widowControl w:val="false"/>
              <w:jc w:val="both"/>
              <w:rPr/>
            </w:pPr>
            <w:r>
              <w:rPr/>
              <w:t xml:space="preserve">4.4.90.51-Obras e Instalações </w:t>
            </w:r>
          </w:p>
        </w:tc>
      </w:tr>
      <w:tr>
        <w:trPr>
          <w:trHeight w:val="498" w:hRule="atLeast"/>
        </w:trPr>
        <w:tc>
          <w:tcPr>
            <w:tcW w:w="2696" w:type="dxa"/>
            <w:tcBorders>
              <w:left w:val="single" w:sz="4" w:space="0" w:color="000000"/>
              <w:bottom w:val="single" w:sz="4" w:space="0" w:color="000000"/>
            </w:tcBorders>
          </w:tcPr>
          <w:p>
            <w:pPr>
              <w:pStyle w:val="Contedodatabela"/>
              <w:widowControl w:val="false"/>
              <w:jc w:val="both"/>
              <w:rPr/>
            </w:pPr>
            <w:r>
              <w:rPr/>
              <w:t xml:space="preserve">REDUZIDO </w:t>
            </w:r>
          </w:p>
        </w:tc>
        <w:tc>
          <w:tcPr>
            <w:tcW w:w="7023" w:type="dxa"/>
            <w:tcBorders>
              <w:left w:val="single" w:sz="4" w:space="0" w:color="000000"/>
              <w:bottom w:val="single" w:sz="4" w:space="0" w:color="000000"/>
              <w:right w:val="single" w:sz="4" w:space="0" w:color="000000"/>
            </w:tcBorders>
          </w:tcPr>
          <w:p>
            <w:pPr>
              <w:pStyle w:val="Contedodatabela"/>
              <w:widowControl w:val="false"/>
              <w:jc w:val="both"/>
              <w:rPr/>
            </w:pPr>
            <w:r>
              <w:rPr/>
              <w:t>278</w:t>
            </w:r>
          </w:p>
        </w:tc>
      </w:tr>
      <w:tr>
        <w:trPr/>
        <w:tc>
          <w:tcPr>
            <w:tcW w:w="2696" w:type="dxa"/>
            <w:tcBorders>
              <w:left w:val="single" w:sz="4" w:space="0" w:color="000000"/>
              <w:bottom w:val="single" w:sz="4" w:space="0" w:color="000000"/>
            </w:tcBorders>
          </w:tcPr>
          <w:p>
            <w:pPr>
              <w:pStyle w:val="Contedodatabela"/>
              <w:widowControl w:val="false"/>
              <w:jc w:val="both"/>
              <w:rPr/>
            </w:pPr>
            <w:r>
              <w:rPr/>
              <w:t xml:space="preserve">FONTE DO RECURSO </w:t>
            </w:r>
          </w:p>
        </w:tc>
        <w:tc>
          <w:tcPr>
            <w:tcW w:w="7023" w:type="dxa"/>
            <w:tcBorders>
              <w:left w:val="single" w:sz="4" w:space="0" w:color="000000"/>
              <w:bottom w:val="single" w:sz="4" w:space="0" w:color="000000"/>
              <w:right w:val="single" w:sz="4" w:space="0" w:color="000000"/>
            </w:tcBorders>
          </w:tcPr>
          <w:p>
            <w:pPr>
              <w:pStyle w:val="Contedodatabela"/>
              <w:widowControl w:val="false"/>
              <w:rPr/>
            </w:pPr>
            <w:r>
              <w:rPr/>
              <w:t xml:space="preserve">R$ 1.754.0000000 </w:t>
            </w:r>
          </w:p>
        </w:tc>
      </w:tr>
      <w:tr>
        <w:trPr/>
        <w:tc>
          <w:tcPr>
            <w:tcW w:w="2696" w:type="dxa"/>
            <w:tcBorders>
              <w:left w:val="single" w:sz="4" w:space="0" w:color="000000"/>
              <w:bottom w:val="single" w:sz="4" w:space="0" w:color="000000"/>
            </w:tcBorders>
          </w:tcPr>
          <w:p>
            <w:pPr>
              <w:pStyle w:val="Contedodatabela"/>
              <w:widowControl w:val="false"/>
              <w:jc w:val="both"/>
              <w:rPr/>
            </w:pPr>
            <w:r>
              <w:rPr/>
              <w:t xml:space="preserve">PREVISÃO DA DESPESA </w:t>
            </w:r>
          </w:p>
        </w:tc>
        <w:tc>
          <w:tcPr>
            <w:tcW w:w="7023" w:type="dxa"/>
            <w:tcBorders>
              <w:left w:val="single" w:sz="4" w:space="0" w:color="000000"/>
              <w:bottom w:val="single" w:sz="4" w:space="0" w:color="000000"/>
              <w:right w:val="single" w:sz="4" w:space="0" w:color="000000"/>
            </w:tcBorders>
          </w:tcPr>
          <w:p>
            <w:pPr>
              <w:pStyle w:val="Contedodatabela"/>
              <w:widowControl w:val="false"/>
              <w:rPr/>
            </w:pPr>
            <w:r>
              <w:rPr/>
              <w:t>R$ 4.349.538,61</w:t>
            </w:r>
          </w:p>
        </w:tc>
      </w:tr>
    </w:tbl>
    <w:p>
      <w:pPr>
        <w:pStyle w:val="Normal"/>
        <w:jc w:val="both"/>
        <w:rPr>
          <w:rFonts w:ascii="Book Antiqua" w:hAnsi="Book Antiqua" w:cs="Book Antiqua"/>
          <w:sz w:val="18"/>
          <w:szCs w:val="18"/>
        </w:rPr>
      </w:pPr>
      <w:r>
        <w:rPr>
          <w:rFonts w:cs="Book Antiqua" w:ascii="Book Antiqua" w:hAnsi="Book Antiqua"/>
          <w:sz w:val="18"/>
          <w:szCs w:val="18"/>
        </w:rPr>
        <w:t>11.2 Para os exercícios subsequentes, as despesas correrão à conta dos orçamentos respectivos, em conformidade com o Plano Anual.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SEGUNDA – DA GARANTIA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12.1 – Após assinar o contrato, deverá o vencedor prestar garantia de 5% (cinco por cento) do valor deste a preços iniciais, no prazo mínimo de 30(trinta) dias, nos termos do Art. 96 § 3º da Lei 14.133 de 2021, sob pena de decair o direito à contratação.</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12.2 – A caução inicial será reforçada durante a execução dos serviços contratados, de forma a totalizar sempre 5% (cinco por cento) do valor vigente do contrato (preços iniciais mais aditivos e reajustamentos se houver).</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12.3 – A garantia e seus reforços poderão ser realizados em uma das seguintes modalidades:</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I –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II – seguro-garantia;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III – fiança bancária emitida por banco ou instituição financeira devidamente autorizada a operar no País pelo Banco Central do Brasil.</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IV – título de capitalização custeado por pagamento único, com resgate pelo valor total.</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12.3.1 Não serão aceitos cheques sob nenhuma hipótese.</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12.3.2 No caso de opção pela modalidade "I - Caução </w:t>
      </w:r>
      <w:r>
        <w:rPr>
          <w:rFonts w:ascii="Book Antiqua" w:hAnsi="Book Antiqua"/>
          <w:kern w:val="0"/>
          <w:szCs w:val="18"/>
          <w:lang w:eastAsia="pt-BR"/>
        </w:rPr>
        <w:t xml:space="preserve">em dinheiro", </w:t>
      </w:r>
      <w:r>
        <w:rPr>
          <w:rFonts w:ascii="Book Antiqua" w:hAnsi="Book Antiqua"/>
          <w:kern w:val="0"/>
          <w:sz w:val="18"/>
          <w:szCs w:val="18"/>
          <w:lang w:eastAsia="pt-BR"/>
        </w:rPr>
        <w:t>o interessado deverá procurar a Administração Pública Municipal, em Rondonópolis/MT, para obter instruções de como efetuá-la.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12.3.3 No caso de caução com "I - [...] Títulos da Dívida Pública", estes deverão estar acompanhados de laudo de avaliação da Secretaria do Tesouro Nacional, no qual informe sobre a exequibilidade, valor e prazo de resgate, taxa de atualização, e condições de resgate.</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12.3.4 Para a prestação de garantia na modalidade "II - Seguro-Garantia", o prazo será de 1 (um) mês, contado da data de homologação da licitação e anterior à assinatura do contrato (art. 96, §3º da Lei nº 14.133, de 1º de abril de 2021) e dar-se-á mediante entrega da competente apólice emitida por entidade em funcionamento no País, e em nome do Município de Rondonópolis, cobrindo o risco de quebra do contrato, pelo prazo da duração do contrato,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 </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12.3.5 Caso a garantia se dê por "III - Fiança Bancária", esta deverá ser fornecida por um banco localizado no Brasil, a critério da LICITANTE,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 </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12.3.6 Caso a garantia se dê por "IV – Título de Capitalização", esta deverá ser fornecida por um banco localizado no Brasil, a critério da LICITANTE, devendo a CONTRATADA providenciar sua prorrogação, por toda a duração do contrato, independente de notificação da Secretaria de Infraestrutura, sob pena de rescisão contratual, sem prejuízo das demais sanções previstas contratualmente e/ou em normativo da Administração Pública. </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12.3.7 A garantia prestada pela Contratada lhe será restituída ou liberada após o Recebimento Definitivo do(s) serviço(s) e, quando em dinheiro, com a devida atualização monetária.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12.4 – A contratada é responsável pelos danos causados diretamente à Administração ou a terceiros, na forma do art. 120, da Lei nº 14.133 de 2021. O contratado é responsável pelos encargos trabalhistas, previdenciários, fiscais e comerciais de suas subcontratadas resultantes da execução do contrato, cabendo a ele a fiscalização do cumprimento de suas obrigações.</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12.5 - Ocorrendo a rescisão com fundamento nos incisos I a IX do Art. 137 da Lei nº 14.133, de 1º de abril de 2021, a Administração executará a garantia prestada pela Contratada.</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12.6 - A garantia prestada visa garantir o pleno cumprimento, pela Contratada, das obrigações estipuladas neste Contrato: ressarcir a Contratante de quaisquer prejuízos decorrentes de sua rescisão unilateral e injustificada; cobrir multas que vierem a ser aplicadas em decorrência de rescisão contratual ou aplicadas por descumprimento de quaisquer outras obrigações contratuais ou, ainda, cobrir perdas e danos causados à Contratante.</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 xml:space="preserve">12.7 - Não será aceita a prestação de garantia que não cubra todos os riscos ou prejuízos eventualmente decorrentes da execução do contrato, tais como a responsabilidade por multas e obrigações trabalhistas, previdenciárias ou sociais. </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12.10 - O licitante se obrigará, conforme artigo 618 do Código Civil Brasileiro, garantir pelo prazo mínimo de 05 (cinco) anos, todos os serviços executados, contados a partir data de emissão do Termo de Recebimento Definitivo.</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12.11 Conforme o art. 4º da Instrução Normativa nº 01/2014 da Unidade Central de Controle Interno, fica a cargo do setor de contrato, informar ao contratado para proceder à entrega da garantia contratual ao Departamento de Tesouraria da Secretaria Municipal de Finanças – SEFIN.</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12.12 Apresentada a caução e verificada a autenticidade do documento, o Departamento de Tesouraria emitira o termo de recebimento da garantia e entregará ao contratado, no qual apresentará o termo da caução junto a Secretaria Municipal de Saúde, no prazo de dois uteis, para fins de emissão de ordem de serviço.</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12.13 Ao licitante que se consagra vencedora com uma proposta inferior a 85% (oitenta e cinco por cento) do valor orçado pela administração pública, deverá fornecer garantias adicionais, equivalente à diferença entre este último e o valor da proposta, sem prejuízo das demais garantias exigíveis nos termos do Art. 59 da Lei nº 14.133 de 2021.</w:t>
      </w:r>
    </w:p>
    <w:p>
      <w:pPr>
        <w:pStyle w:val="Normal"/>
        <w:suppressAutoHyphens w:val="false"/>
        <w:spacing w:before="238" w:after="238"/>
        <w:jc w:val="both"/>
        <w:rPr>
          <w:rFonts w:ascii="Book Antiqua" w:hAnsi="Book Antiqua" w:cs="Arial"/>
          <w:b/>
          <w:b/>
          <w:bCs/>
          <w:kern w:val="0"/>
          <w:sz w:val="18"/>
          <w:szCs w:val="18"/>
          <w:lang w:eastAsia="pt-BR"/>
        </w:rPr>
      </w:pPr>
      <w:r>
        <w:rPr>
          <w:rFonts w:ascii="Book Antiqua" w:hAnsi="Book Antiqua"/>
          <w:kern w:val="0"/>
          <w:sz w:val="18"/>
          <w:szCs w:val="18"/>
          <w:lang w:eastAsia="pt-BR"/>
        </w:rPr>
        <w:t>12</w:t>
      </w:r>
      <w:r>
        <w:rPr>
          <w:rFonts w:ascii="Book Antiqua" w:hAnsi="Book Antiqua"/>
          <w:b/>
          <w:bCs/>
          <w:kern w:val="0"/>
          <w:sz w:val="18"/>
          <w:szCs w:val="18"/>
          <w:lang w:eastAsia="pt-BR"/>
        </w:rPr>
        <w:t>.2 DA GARANTIA ADICIONAL</w:t>
      </w:r>
    </w:p>
    <w:p>
      <w:pPr>
        <w:pStyle w:val="Normal"/>
        <w:suppressAutoHyphens w:val="false"/>
        <w:spacing w:before="238" w:after="238"/>
        <w:jc w:val="both"/>
        <w:rPr>
          <w:rFonts w:ascii="Book Antiqua" w:hAnsi="Book Antiqua" w:cs="Arial"/>
          <w:kern w:val="0"/>
          <w:sz w:val="18"/>
          <w:szCs w:val="18"/>
          <w:lang w:eastAsia="pt-BR"/>
        </w:rPr>
      </w:pPr>
      <w:r>
        <w:rPr>
          <w:rFonts w:ascii="Book Antiqua" w:hAnsi="Book Antiqua"/>
          <w:kern w:val="0"/>
          <w:sz w:val="18"/>
          <w:szCs w:val="18"/>
          <w:lang w:eastAsia="pt-BR"/>
        </w:rPr>
        <w:t>12.2.1 A Contratada deverá prestar garantia adicional nos termos do art. 59, § 5º, Lei nº 14.133, de 1º de abril de 2021, abaixo reproduzido:</w:t>
      </w:r>
    </w:p>
    <w:p>
      <w:pPr>
        <w:pStyle w:val="Normal"/>
        <w:suppressAutoHyphens w:val="false"/>
        <w:spacing w:before="238" w:after="238"/>
        <w:ind w:left="709" w:hanging="0"/>
        <w:jc w:val="both"/>
        <w:rPr>
          <w:rFonts w:ascii="Book Antiqua" w:hAnsi="Book Antiqua" w:cs="Arial"/>
          <w:kern w:val="0"/>
          <w:sz w:val="18"/>
          <w:szCs w:val="18"/>
          <w:lang w:eastAsia="pt-BR"/>
        </w:rPr>
      </w:pPr>
      <w:r>
        <w:rPr>
          <w:rFonts w:ascii="Book Antiqua" w:hAnsi="Book Antiqua"/>
          <w:i/>
          <w:iCs/>
          <w:kern w:val="0"/>
          <w:sz w:val="18"/>
          <w:szCs w:val="18"/>
          <w:lang w:eastAsia="pt-BR"/>
        </w:rPr>
        <w:t>Lei Federal nº 14.133/2021; Lei de Licitações e Contratos Administrativos. Art. 59º Para os fins desta Lei, consideram-se:</w:t>
      </w:r>
    </w:p>
    <w:p>
      <w:pPr>
        <w:pStyle w:val="Normal"/>
        <w:suppressAutoHyphens w:val="false"/>
        <w:spacing w:before="238" w:after="238"/>
        <w:ind w:left="709" w:hanging="0"/>
        <w:jc w:val="both"/>
        <w:rPr>
          <w:rFonts w:ascii="Book Antiqua" w:hAnsi="Book Antiqua" w:cs="Arial"/>
          <w:kern w:val="0"/>
          <w:sz w:val="18"/>
          <w:szCs w:val="18"/>
          <w:lang w:eastAsia="pt-BR"/>
        </w:rPr>
      </w:pPr>
      <w:r>
        <w:rPr>
          <w:rFonts w:ascii="Book Antiqua" w:hAnsi="Book Antiqua"/>
          <w:i/>
          <w:iCs/>
          <w:kern w:val="0"/>
          <w:sz w:val="18"/>
          <w:szCs w:val="18"/>
          <w:lang w:eastAsia="pt-BR"/>
        </w:rPr>
        <w:t>[...]</w:t>
      </w:r>
    </w:p>
    <w:p>
      <w:pPr>
        <w:pStyle w:val="Normal"/>
        <w:suppressAutoHyphens w:val="false"/>
        <w:spacing w:before="238" w:after="238"/>
        <w:ind w:left="709" w:hanging="0"/>
        <w:jc w:val="both"/>
        <w:rPr>
          <w:rFonts w:ascii="Book Antiqua" w:hAnsi="Book Antiqua" w:cs="Arial"/>
          <w:kern w:val="0"/>
          <w:sz w:val="18"/>
          <w:szCs w:val="18"/>
          <w:lang w:eastAsia="pt-BR"/>
        </w:rPr>
      </w:pPr>
      <w:r>
        <w:rPr>
          <w:rFonts w:ascii="Book Antiqua" w:hAnsi="Book Antiqua"/>
          <w:i/>
          <w:iCs/>
          <w:kern w:val="0"/>
          <w:sz w:val="18"/>
          <w:szCs w:val="18"/>
          <w:lang w:eastAsia="pt-BR"/>
        </w:rPr>
        <w:t>§ 5º 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12.2.2 O valor da garantia adicional corresponderá à diferença entre 85% do valor orçado pela Administração e o valor da proposta vencedora, calculado conforme a seguinte fórmula:</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Garantia Adicional = 85 % do Valor Orçado pela Administração - Valor da Proposta Vencedora</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 xml:space="preserve">12.2.3. Exemplo de cálculo: </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 xml:space="preserve">- Valor orçado pela Administração: R$ 1.000.000,00 </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 xml:space="preserve">- 85% do valor orçado: R$ 850.000,00 </w:t>
      </w:r>
    </w:p>
    <w:p>
      <w:pPr>
        <w:pStyle w:val="Normal"/>
        <w:suppressAutoHyphens w:val="false"/>
        <w:spacing w:before="238" w:after="238"/>
        <w:jc w:val="both"/>
        <w:rPr>
          <w:rFonts w:ascii="Book Antiqua" w:hAnsi="Book Antiqua"/>
          <w:kern w:val="0"/>
          <w:sz w:val="18"/>
          <w:szCs w:val="18"/>
          <w:lang w:eastAsia="pt-BR"/>
        </w:rPr>
      </w:pPr>
      <w:r>
        <w:rPr>
          <w:rFonts w:ascii="Book Antiqua" w:hAnsi="Book Antiqua"/>
          <w:kern w:val="0"/>
          <w:sz w:val="18"/>
          <w:szCs w:val="18"/>
          <w:lang w:eastAsia="pt-BR"/>
        </w:rPr>
        <w:t xml:space="preserve">- Proposta vencedora: R$ 800.000,00 </w:t>
      </w:r>
    </w:p>
    <w:p>
      <w:pPr>
        <w:pStyle w:val="Normal"/>
        <w:suppressAutoHyphens w:val="false"/>
        <w:spacing w:before="238" w:after="238"/>
        <w:jc w:val="both"/>
        <w:rPr>
          <w:rFonts w:ascii="Book Antiqua" w:hAnsi="Book Antiqua"/>
          <w:vanish/>
          <w:kern w:val="0"/>
          <w:sz w:val="18"/>
          <w:szCs w:val="18"/>
          <w:lang w:val="pt-PT" w:eastAsia="pt-BR"/>
        </w:rPr>
      </w:pPr>
      <w:r>
        <w:rPr>
          <w:rFonts w:ascii="Book Antiqua" w:hAnsi="Book Antiqua"/>
          <w:kern w:val="0"/>
          <w:sz w:val="18"/>
          <w:szCs w:val="18"/>
          <w:lang w:eastAsia="pt-BR"/>
        </w:rPr>
        <w:t>- Garantia adicional devida: R$ 50.000,00</w:t>
      </w:r>
      <w:r>
        <w:rPr>
          <w:rFonts w:ascii="Book Antiqua" w:hAnsi="Book Antiqua"/>
          <w:vanish/>
          <w:kern w:val="0"/>
          <w:sz w:val="18"/>
          <w:szCs w:val="18"/>
          <w:lang w:val="pt-PT" w:eastAsia="pt-BR"/>
        </w:rPr>
        <w:t>85% do valor orçado: R$ 850.000,00 Proposta vencedora: R$ 800.000,00 Garantia</w:t>
      </w:r>
      <w:r>
        <w:rPr>
          <w:rFonts w:ascii="Book Antiqua" w:hAnsi="Book Antiqua"/>
          <w:vanish/>
          <w:spacing w:val="-10"/>
          <w:kern w:val="0"/>
          <w:sz w:val="18"/>
          <w:szCs w:val="18"/>
          <w:lang w:val="pt-PT" w:eastAsia="pt-BR"/>
        </w:rPr>
        <w:t xml:space="preserve"> </w:t>
      </w:r>
      <w:r>
        <w:rPr>
          <w:rFonts w:ascii="Book Antiqua" w:hAnsi="Book Antiqua"/>
          <w:vanish/>
          <w:kern w:val="0"/>
          <w:sz w:val="18"/>
          <w:szCs w:val="18"/>
          <w:lang w:val="pt-PT" w:eastAsia="pt-BR"/>
        </w:rPr>
        <w:t>adicional</w:t>
      </w:r>
      <w:r>
        <w:rPr>
          <w:rFonts w:ascii="Book Antiqua" w:hAnsi="Book Antiqua"/>
          <w:vanish/>
          <w:spacing w:val="-8"/>
          <w:kern w:val="0"/>
          <w:sz w:val="18"/>
          <w:szCs w:val="18"/>
          <w:lang w:val="pt-PT" w:eastAsia="pt-BR"/>
        </w:rPr>
        <w:t xml:space="preserve"> </w:t>
      </w:r>
      <w:r>
        <w:rPr>
          <w:rFonts w:ascii="Book Antiqua" w:hAnsi="Book Antiqua"/>
          <w:vanish/>
          <w:kern w:val="0"/>
          <w:sz w:val="18"/>
          <w:szCs w:val="18"/>
          <w:lang w:val="pt-PT" w:eastAsia="pt-BR"/>
        </w:rPr>
        <w:t>devida:</w:t>
      </w:r>
      <w:r>
        <w:rPr>
          <w:rFonts w:ascii="Book Antiqua" w:hAnsi="Book Antiqua"/>
          <w:vanish/>
          <w:spacing w:val="-6"/>
          <w:kern w:val="0"/>
          <w:sz w:val="18"/>
          <w:szCs w:val="18"/>
          <w:lang w:val="pt-PT" w:eastAsia="pt-BR"/>
        </w:rPr>
        <w:t xml:space="preserve"> </w:t>
      </w:r>
      <w:r>
        <w:rPr>
          <w:rFonts w:ascii="Book Antiqua" w:hAnsi="Book Antiqua"/>
          <w:vanish/>
          <w:kern w:val="0"/>
          <w:sz w:val="18"/>
          <w:szCs w:val="18"/>
          <w:lang w:val="pt-PT" w:eastAsia="pt-BR"/>
        </w:rPr>
        <w:t>R$</w:t>
      </w:r>
      <w:r>
        <w:rPr>
          <w:rFonts w:ascii="Book Antiqua" w:hAnsi="Book Antiqua"/>
          <w:vanish/>
          <w:spacing w:val="-10"/>
          <w:kern w:val="0"/>
          <w:sz w:val="18"/>
          <w:szCs w:val="18"/>
          <w:lang w:val="pt-PT" w:eastAsia="pt-BR"/>
        </w:rPr>
        <w:t xml:space="preserve"> </w:t>
      </w:r>
      <w:r>
        <w:rPr>
          <w:rFonts w:ascii="Book Antiqua" w:hAnsi="Book Antiqua"/>
          <w:vanish/>
          <w:kern w:val="0"/>
          <w:sz w:val="18"/>
          <w:szCs w:val="18"/>
          <w:lang w:val="pt-PT" w:eastAsia="pt-BR"/>
        </w:rPr>
        <w:t>50.000,00</w:t>
      </w:r>
    </w:p>
    <w:p>
      <w:pPr>
        <w:pStyle w:val="Normal"/>
        <w:suppressAutoHyphens w:val="false"/>
        <w:spacing w:before="40" w:afterAutospacing="1"/>
        <w:jc w:val="both"/>
        <w:rPr>
          <w:rFonts w:ascii="Book Antiqua" w:hAnsi="Book Antiqua"/>
          <w:vanish/>
          <w:kern w:val="0"/>
          <w:sz w:val="18"/>
          <w:szCs w:val="18"/>
          <w:lang w:val="pt-PT" w:eastAsia="pt-BR"/>
        </w:rPr>
      </w:pPr>
      <w:r>
        <w:rPr>
          <w:rFonts w:ascii="Book Antiqua" w:hAnsi="Book Antiqua"/>
          <w:vanish w:val="false"/>
          <w:kern w:val="0"/>
          <w:sz w:val="18"/>
          <w:szCs w:val="18"/>
          <w:lang w:val="pt-PT" w:eastAsia="pt-BR"/>
        </w:rPr>
      </w:r>
    </w:p>
    <w:p>
      <w:pPr>
        <w:pStyle w:val="Normal"/>
        <w:suppressAutoHyphens w:val="false"/>
        <w:spacing w:lineRule="auto" w:line="276" w:beforeAutospacing="1" w:afterAutospacing="1"/>
        <w:ind w:right="153" w:hanging="0"/>
        <w:jc w:val="both"/>
        <w:rPr>
          <w:rFonts w:ascii="Book Antiqua" w:hAnsi="Book Antiqua"/>
          <w:kern w:val="0"/>
          <w:sz w:val="18"/>
          <w:szCs w:val="18"/>
          <w:lang w:eastAsia="pt-BR"/>
        </w:rPr>
      </w:pPr>
      <w:r>
        <w:rPr>
          <w:rFonts w:ascii="Book Antiqua" w:hAnsi="Book Antiqua"/>
          <w:kern w:val="0"/>
          <w:sz w:val="18"/>
          <w:szCs w:val="18"/>
          <w:lang w:eastAsia="pt-BR"/>
        </w:rPr>
      </w:r>
    </w:p>
    <w:p>
      <w:pPr>
        <w:pStyle w:val="Normal"/>
        <w:suppressAutoHyphens w:val="false"/>
        <w:spacing w:lineRule="auto" w:line="276" w:beforeAutospacing="1" w:afterAutospacing="1"/>
        <w:ind w:right="153" w:hanging="0"/>
        <w:jc w:val="both"/>
        <w:rPr>
          <w:rFonts w:ascii="Book Antiqua" w:hAnsi="Book Antiqua" w:cs="Arial"/>
          <w:kern w:val="0"/>
          <w:sz w:val="18"/>
          <w:szCs w:val="18"/>
          <w:lang w:eastAsia="pt-BR"/>
        </w:rPr>
      </w:pPr>
      <w:r>
        <w:rPr>
          <w:rFonts w:ascii="Book Antiqua" w:hAnsi="Book Antiqua"/>
          <w:kern w:val="0"/>
          <w:sz w:val="18"/>
          <w:szCs w:val="18"/>
          <w:lang w:eastAsia="pt-BR"/>
        </w:rPr>
        <w:t>12.2.4 A</w:t>
      </w:r>
      <w:r>
        <w:rPr>
          <w:rFonts w:ascii="Book Antiqua" w:hAnsi="Book Antiqua"/>
          <w:spacing w:val="-6"/>
          <w:kern w:val="0"/>
          <w:sz w:val="18"/>
          <w:szCs w:val="18"/>
          <w:lang w:eastAsia="pt-BR"/>
        </w:rPr>
        <w:t xml:space="preserve"> </w:t>
      </w:r>
      <w:r>
        <w:rPr>
          <w:rFonts w:ascii="Book Antiqua" w:hAnsi="Book Antiqua"/>
          <w:kern w:val="0"/>
          <w:sz w:val="18"/>
          <w:szCs w:val="18"/>
          <w:lang w:eastAsia="pt-BR"/>
        </w:rPr>
        <w:t>garantia</w:t>
      </w:r>
      <w:r>
        <w:rPr>
          <w:rFonts w:ascii="Book Antiqua" w:hAnsi="Book Antiqua"/>
          <w:spacing w:val="-6"/>
          <w:kern w:val="0"/>
          <w:sz w:val="18"/>
          <w:szCs w:val="18"/>
          <w:lang w:eastAsia="pt-BR"/>
        </w:rPr>
        <w:t xml:space="preserve"> </w:t>
      </w:r>
      <w:r>
        <w:rPr>
          <w:rFonts w:ascii="Book Antiqua" w:hAnsi="Book Antiqua"/>
          <w:kern w:val="0"/>
          <w:sz w:val="18"/>
          <w:szCs w:val="18"/>
          <w:lang w:eastAsia="pt-BR"/>
        </w:rPr>
        <w:t>adicional</w:t>
      </w:r>
      <w:r>
        <w:rPr>
          <w:rFonts w:ascii="Book Antiqua" w:hAnsi="Book Antiqua"/>
          <w:spacing w:val="-6"/>
          <w:kern w:val="0"/>
          <w:sz w:val="18"/>
          <w:szCs w:val="18"/>
          <w:lang w:eastAsia="pt-BR"/>
        </w:rPr>
        <w:t xml:space="preserve"> </w:t>
      </w:r>
      <w:r>
        <w:rPr>
          <w:rFonts w:ascii="Book Antiqua" w:hAnsi="Book Antiqua"/>
          <w:kern w:val="0"/>
          <w:sz w:val="18"/>
          <w:szCs w:val="18"/>
          <w:lang w:eastAsia="pt-BR"/>
        </w:rPr>
        <w:t>deverá</w:t>
      </w:r>
      <w:r>
        <w:rPr>
          <w:rFonts w:ascii="Book Antiqua" w:hAnsi="Book Antiqua"/>
          <w:spacing w:val="-6"/>
          <w:kern w:val="0"/>
          <w:sz w:val="18"/>
          <w:szCs w:val="18"/>
          <w:lang w:eastAsia="pt-BR"/>
        </w:rPr>
        <w:t xml:space="preserve"> </w:t>
      </w:r>
      <w:r>
        <w:rPr>
          <w:rFonts w:ascii="Book Antiqua" w:hAnsi="Book Antiqua"/>
          <w:kern w:val="0"/>
          <w:sz w:val="18"/>
          <w:szCs w:val="18"/>
          <w:lang w:eastAsia="pt-BR"/>
        </w:rPr>
        <w:t>ser</w:t>
      </w:r>
      <w:r>
        <w:rPr>
          <w:rFonts w:ascii="Book Antiqua" w:hAnsi="Book Antiqua"/>
          <w:spacing w:val="-6"/>
          <w:kern w:val="0"/>
          <w:sz w:val="18"/>
          <w:szCs w:val="18"/>
          <w:lang w:eastAsia="pt-BR"/>
        </w:rPr>
        <w:t xml:space="preserve"> </w:t>
      </w:r>
      <w:r>
        <w:rPr>
          <w:rFonts w:ascii="Book Antiqua" w:hAnsi="Book Antiqua"/>
          <w:kern w:val="0"/>
          <w:sz w:val="18"/>
          <w:szCs w:val="18"/>
          <w:lang w:eastAsia="pt-BR"/>
        </w:rPr>
        <w:t>apresentada</w:t>
      </w:r>
      <w:r>
        <w:rPr>
          <w:rFonts w:ascii="Book Antiqua" w:hAnsi="Book Antiqua"/>
          <w:spacing w:val="-6"/>
          <w:kern w:val="0"/>
          <w:sz w:val="18"/>
          <w:szCs w:val="18"/>
          <w:lang w:eastAsia="pt-BR"/>
        </w:rPr>
        <w:t xml:space="preserve"> </w:t>
      </w:r>
      <w:r>
        <w:rPr>
          <w:rFonts w:ascii="Book Antiqua" w:hAnsi="Book Antiqua"/>
          <w:kern w:val="0"/>
          <w:sz w:val="18"/>
          <w:szCs w:val="18"/>
          <w:lang w:eastAsia="pt-BR"/>
        </w:rPr>
        <w:t>no</w:t>
      </w:r>
      <w:r>
        <w:rPr>
          <w:rFonts w:ascii="Book Antiqua" w:hAnsi="Book Antiqua"/>
          <w:spacing w:val="-8"/>
          <w:kern w:val="0"/>
          <w:sz w:val="18"/>
          <w:szCs w:val="18"/>
          <w:lang w:eastAsia="pt-BR"/>
        </w:rPr>
        <w:t xml:space="preserve"> </w:t>
      </w:r>
      <w:r>
        <w:rPr>
          <w:rFonts w:ascii="Book Antiqua" w:hAnsi="Book Antiqua"/>
          <w:kern w:val="0"/>
          <w:sz w:val="18"/>
          <w:szCs w:val="18"/>
          <w:lang w:eastAsia="pt-BR"/>
        </w:rPr>
        <w:t>prazo</w:t>
      </w:r>
      <w:r>
        <w:rPr>
          <w:rFonts w:ascii="Book Antiqua" w:hAnsi="Book Antiqua"/>
          <w:spacing w:val="-8"/>
          <w:kern w:val="0"/>
          <w:sz w:val="18"/>
          <w:szCs w:val="18"/>
          <w:lang w:eastAsia="pt-BR"/>
        </w:rPr>
        <w:t xml:space="preserve"> </w:t>
      </w:r>
      <w:r>
        <w:rPr>
          <w:rFonts w:ascii="Book Antiqua" w:hAnsi="Book Antiqua"/>
          <w:kern w:val="0"/>
          <w:sz w:val="18"/>
          <w:szCs w:val="18"/>
          <w:lang w:eastAsia="pt-BR"/>
        </w:rPr>
        <w:t>de,</w:t>
      </w:r>
      <w:r>
        <w:rPr>
          <w:rFonts w:ascii="Book Antiqua" w:hAnsi="Book Antiqua"/>
          <w:spacing w:val="-4"/>
          <w:kern w:val="0"/>
          <w:sz w:val="18"/>
          <w:szCs w:val="18"/>
          <w:lang w:eastAsia="pt-BR"/>
        </w:rPr>
        <w:t xml:space="preserve"> </w:t>
      </w:r>
      <w:r>
        <w:rPr>
          <w:rFonts w:ascii="Book Antiqua" w:hAnsi="Book Antiqua"/>
          <w:kern w:val="0"/>
          <w:sz w:val="18"/>
          <w:szCs w:val="18"/>
          <w:lang w:eastAsia="pt-BR"/>
        </w:rPr>
        <w:t>10</w:t>
      </w:r>
      <w:r>
        <w:rPr>
          <w:rFonts w:ascii="Book Antiqua" w:hAnsi="Book Antiqua"/>
          <w:spacing w:val="-8"/>
          <w:kern w:val="0"/>
          <w:sz w:val="18"/>
          <w:szCs w:val="18"/>
          <w:lang w:eastAsia="pt-BR"/>
        </w:rPr>
        <w:t xml:space="preserve"> </w:t>
      </w:r>
      <w:r>
        <w:rPr>
          <w:rFonts w:ascii="Book Antiqua" w:hAnsi="Book Antiqua"/>
          <w:kern w:val="0"/>
          <w:sz w:val="18"/>
          <w:szCs w:val="18"/>
          <w:lang w:eastAsia="pt-BR"/>
        </w:rPr>
        <w:t>(dez)</w:t>
      </w:r>
      <w:r>
        <w:rPr>
          <w:rFonts w:ascii="Book Antiqua" w:hAnsi="Book Antiqua"/>
          <w:spacing w:val="-6"/>
          <w:kern w:val="0"/>
          <w:sz w:val="18"/>
          <w:szCs w:val="18"/>
          <w:lang w:eastAsia="pt-BR"/>
        </w:rPr>
        <w:t xml:space="preserve"> </w:t>
      </w:r>
      <w:r>
        <w:rPr>
          <w:rFonts w:ascii="Book Antiqua" w:hAnsi="Book Antiqua"/>
          <w:kern w:val="0"/>
          <w:sz w:val="18"/>
          <w:szCs w:val="18"/>
          <w:lang w:eastAsia="pt-BR"/>
        </w:rPr>
        <w:t>dias</w:t>
      </w:r>
      <w:r>
        <w:rPr>
          <w:rFonts w:ascii="Book Antiqua" w:hAnsi="Book Antiqua"/>
          <w:spacing w:val="-6"/>
          <w:kern w:val="0"/>
          <w:sz w:val="18"/>
          <w:szCs w:val="18"/>
          <w:lang w:eastAsia="pt-BR"/>
        </w:rPr>
        <w:t xml:space="preserve"> </w:t>
      </w:r>
      <w:r>
        <w:rPr>
          <w:rFonts w:ascii="Book Antiqua" w:hAnsi="Book Antiqua"/>
          <w:kern w:val="0"/>
          <w:sz w:val="18"/>
          <w:szCs w:val="18"/>
          <w:lang w:eastAsia="pt-BR"/>
        </w:rPr>
        <w:t>úteis</w:t>
      </w:r>
      <w:r>
        <w:rPr>
          <w:rFonts w:ascii="Book Antiqua" w:hAnsi="Book Antiqua"/>
          <w:spacing w:val="-6"/>
          <w:kern w:val="0"/>
          <w:sz w:val="18"/>
          <w:szCs w:val="18"/>
          <w:lang w:eastAsia="pt-BR"/>
        </w:rPr>
        <w:t xml:space="preserve"> </w:t>
      </w:r>
      <w:r>
        <w:rPr>
          <w:rFonts w:ascii="Book Antiqua" w:hAnsi="Book Antiqua"/>
          <w:kern w:val="0"/>
          <w:sz w:val="18"/>
          <w:szCs w:val="18"/>
          <w:lang w:eastAsia="pt-BR"/>
        </w:rPr>
        <w:t>contados</w:t>
      </w:r>
      <w:r>
        <w:rPr>
          <w:rFonts w:ascii="Book Antiqua" w:hAnsi="Book Antiqua"/>
          <w:spacing w:val="-6"/>
          <w:kern w:val="0"/>
          <w:sz w:val="18"/>
          <w:szCs w:val="18"/>
          <w:lang w:eastAsia="pt-BR"/>
        </w:rPr>
        <w:t xml:space="preserve"> </w:t>
      </w:r>
      <w:r>
        <w:rPr>
          <w:rFonts w:ascii="Book Antiqua" w:hAnsi="Book Antiqua"/>
          <w:kern w:val="0"/>
          <w:sz w:val="18"/>
          <w:szCs w:val="18"/>
          <w:lang w:eastAsia="pt-BR"/>
        </w:rPr>
        <w:t>da</w:t>
      </w:r>
      <w:r>
        <w:rPr>
          <w:rFonts w:ascii="Book Antiqua" w:hAnsi="Book Antiqua"/>
          <w:spacing w:val="-6"/>
          <w:kern w:val="0"/>
          <w:sz w:val="18"/>
          <w:szCs w:val="18"/>
          <w:lang w:eastAsia="pt-BR"/>
        </w:rPr>
        <w:t xml:space="preserve"> </w:t>
      </w:r>
      <w:r>
        <w:rPr>
          <w:rFonts w:ascii="Book Antiqua" w:hAnsi="Book Antiqua"/>
          <w:kern w:val="0"/>
          <w:sz w:val="18"/>
          <w:szCs w:val="18"/>
          <w:lang w:eastAsia="pt-BR"/>
        </w:rPr>
        <w:t>convocação para assinatura do contrato, podendo ser prestada em uma das modalidades previstas no art. 96 da Lei nº 14.133, de 1º de abril de 2021</w:t>
      </w:r>
    </w:p>
    <w:p>
      <w:pPr>
        <w:pStyle w:val="Normal"/>
        <w:suppressAutoHyphens w:val="false"/>
        <w:spacing w:lineRule="auto" w:line="276" w:beforeAutospacing="1" w:afterAutospacing="1"/>
        <w:ind w:left="142" w:right="153" w:hanging="0"/>
        <w:jc w:val="both"/>
        <w:rPr>
          <w:rFonts w:ascii="Book Antiqua" w:hAnsi="Book Antiqua"/>
          <w:kern w:val="0"/>
          <w:sz w:val="18"/>
          <w:szCs w:val="18"/>
          <w:lang w:eastAsia="pt-BR"/>
        </w:rPr>
      </w:pPr>
      <w:r>
        <w:rPr>
          <w:rFonts w:ascii="Book Antiqua" w:hAnsi="Book Antiqua"/>
          <w:kern w:val="0"/>
          <w:sz w:val="18"/>
          <w:szCs w:val="18"/>
          <w:lang w:eastAsia="pt-BR"/>
        </w:rPr>
        <w:t>I -</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caução</w:t>
      </w:r>
      <w:r>
        <w:rPr>
          <w:rFonts w:ascii="Book Antiqua" w:hAnsi="Book Antiqua"/>
          <w:spacing w:val="-12"/>
          <w:kern w:val="0"/>
          <w:sz w:val="18"/>
          <w:szCs w:val="18"/>
          <w:lang w:eastAsia="pt-BR"/>
        </w:rPr>
        <w:t xml:space="preserve"> </w:t>
      </w:r>
      <w:r>
        <w:rPr>
          <w:rFonts w:ascii="Book Antiqua" w:hAnsi="Book Antiqua"/>
          <w:kern w:val="0"/>
          <w:sz w:val="18"/>
          <w:szCs w:val="18"/>
          <w:lang w:eastAsia="pt-BR"/>
        </w:rPr>
        <w:t>em</w:t>
      </w:r>
      <w:r>
        <w:rPr>
          <w:rFonts w:ascii="Book Antiqua" w:hAnsi="Book Antiqua"/>
          <w:spacing w:val="-10"/>
          <w:kern w:val="0"/>
          <w:sz w:val="18"/>
          <w:szCs w:val="18"/>
          <w:lang w:eastAsia="pt-BR"/>
        </w:rPr>
        <w:t xml:space="preserve"> </w:t>
      </w:r>
      <w:r>
        <w:rPr>
          <w:rFonts w:ascii="Book Antiqua" w:hAnsi="Book Antiqua"/>
          <w:kern w:val="0"/>
          <w:sz w:val="18"/>
          <w:szCs w:val="18"/>
          <w:lang w:eastAsia="pt-BR"/>
        </w:rPr>
        <w:t>dinheiro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ou</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em</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títulos</w:t>
      </w:r>
      <w:r>
        <w:rPr>
          <w:rFonts w:ascii="Book Antiqua" w:hAnsi="Book Antiqua"/>
          <w:spacing w:val="-12"/>
          <w:kern w:val="0"/>
          <w:sz w:val="18"/>
          <w:szCs w:val="18"/>
          <w:lang w:eastAsia="pt-BR"/>
        </w:rPr>
        <w:t xml:space="preserve"> </w:t>
      </w:r>
      <w:r>
        <w:rPr>
          <w:rFonts w:ascii="Book Antiqua" w:hAnsi="Book Antiqua"/>
          <w:kern w:val="0"/>
          <w:sz w:val="18"/>
          <w:szCs w:val="18"/>
          <w:lang w:eastAsia="pt-BR"/>
        </w:rPr>
        <w:t>da</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dívida</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pública</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emitidos</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sob</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a</w:t>
      </w:r>
      <w:r>
        <w:rPr>
          <w:rFonts w:ascii="Book Antiqua" w:hAnsi="Book Antiqua"/>
          <w:spacing w:val="-12"/>
          <w:kern w:val="0"/>
          <w:sz w:val="18"/>
          <w:szCs w:val="18"/>
          <w:lang w:eastAsia="pt-BR"/>
        </w:rPr>
        <w:t xml:space="preserve"> </w:t>
      </w:r>
      <w:r>
        <w:rPr>
          <w:rFonts w:ascii="Book Antiqua" w:hAnsi="Book Antiqua"/>
          <w:kern w:val="0"/>
          <w:sz w:val="18"/>
          <w:szCs w:val="18"/>
          <w:lang w:eastAsia="pt-BR"/>
        </w:rPr>
        <w:t>forma</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escritural,</w:t>
      </w:r>
      <w:r>
        <w:rPr>
          <w:rFonts w:ascii="Book Antiqua" w:hAnsi="Book Antiqua"/>
          <w:spacing w:val="-12"/>
          <w:kern w:val="0"/>
          <w:sz w:val="18"/>
          <w:szCs w:val="18"/>
          <w:lang w:eastAsia="pt-BR"/>
        </w:rPr>
        <w:t xml:space="preserve"> </w:t>
      </w:r>
      <w:r>
        <w:rPr>
          <w:rFonts w:ascii="Book Antiqua" w:hAnsi="Book Antiqua"/>
          <w:kern w:val="0"/>
          <w:sz w:val="18"/>
          <w:szCs w:val="18"/>
          <w:lang w:eastAsia="pt-BR"/>
        </w:rPr>
        <w:t>mediante</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registro em sistema centralizado de liquidação e de custódia autorizado pelo Banco Central do Brasil, e avaliados por seus valores econômicos, conforme definido pelo Ministério da Economia;</w:t>
      </w:r>
    </w:p>
    <w:p>
      <w:pPr>
        <w:pStyle w:val="Normal"/>
        <w:suppressAutoHyphens w:val="false"/>
        <w:spacing w:lineRule="atLeast" w:line="249" w:beforeAutospacing="1" w:afterAutospacing="1"/>
        <w:ind w:left="142" w:hanging="0"/>
        <w:jc w:val="both"/>
        <w:rPr>
          <w:rFonts w:ascii="Book Antiqua" w:hAnsi="Book Antiqua"/>
          <w:kern w:val="0"/>
          <w:sz w:val="18"/>
          <w:szCs w:val="18"/>
          <w:lang w:eastAsia="pt-BR"/>
        </w:rPr>
      </w:pPr>
      <w:r>
        <w:rPr>
          <w:rFonts w:ascii="Book Antiqua" w:hAnsi="Book Antiqua"/>
          <w:kern w:val="0"/>
          <w:sz w:val="18"/>
          <w:szCs w:val="18"/>
          <w:lang w:eastAsia="pt-BR"/>
        </w:rPr>
        <w:t>II-</w:t>
      </w:r>
      <w:r>
        <w:rPr>
          <w:rFonts w:ascii="Book Antiqua" w:hAnsi="Book Antiqua"/>
          <w:spacing w:val="-4"/>
          <w:kern w:val="0"/>
          <w:sz w:val="18"/>
          <w:szCs w:val="18"/>
          <w:lang w:eastAsia="pt-BR"/>
        </w:rPr>
        <w:t xml:space="preserve"> </w:t>
      </w:r>
      <w:r>
        <w:rPr>
          <w:rFonts w:ascii="Book Antiqua" w:hAnsi="Book Antiqua"/>
          <w:kern w:val="0"/>
          <w:sz w:val="18"/>
          <w:szCs w:val="18"/>
          <w:lang w:eastAsia="pt-BR"/>
        </w:rPr>
        <w:t>seguro-</w:t>
      </w:r>
      <w:r>
        <w:rPr>
          <w:rFonts w:ascii="Book Antiqua" w:hAnsi="Book Antiqua"/>
          <w:spacing w:val="-2"/>
          <w:kern w:val="0"/>
          <w:sz w:val="18"/>
          <w:szCs w:val="18"/>
          <w:lang w:eastAsia="pt-BR"/>
        </w:rPr>
        <w:t>garantia;</w:t>
      </w:r>
    </w:p>
    <w:p>
      <w:pPr>
        <w:pStyle w:val="Normal"/>
        <w:suppressAutoHyphens w:val="false"/>
        <w:spacing w:lineRule="auto" w:line="276" w:before="40" w:afterAutospacing="1"/>
        <w:ind w:left="142" w:right="153" w:hanging="0"/>
        <w:jc w:val="both"/>
        <w:rPr>
          <w:rFonts w:ascii="Book Antiqua" w:hAnsi="Book Antiqua"/>
          <w:kern w:val="0"/>
          <w:sz w:val="18"/>
          <w:szCs w:val="18"/>
          <w:lang w:eastAsia="pt-BR"/>
        </w:rPr>
      </w:pPr>
      <w:r>
        <w:rPr>
          <w:rFonts w:ascii="Book Antiqua" w:hAnsi="Book Antiqua"/>
          <w:kern w:val="0"/>
          <w:sz w:val="18"/>
          <w:szCs w:val="18"/>
          <w:lang w:eastAsia="pt-BR"/>
        </w:rPr>
        <w:t>III- fiança bancária emitida por banco ou instituição financeira devidamente autorizada a operar no País pelo Banco Central do Brasil.</w:t>
      </w:r>
    </w:p>
    <w:p>
      <w:pPr>
        <w:pStyle w:val="Normal"/>
        <w:suppressAutoHyphens w:val="false"/>
        <w:spacing w:lineRule="auto" w:line="276" w:beforeAutospacing="1" w:afterAutospacing="1"/>
        <w:ind w:left="142" w:right="147" w:hanging="0"/>
        <w:jc w:val="both"/>
        <w:rPr>
          <w:rFonts w:ascii="Book Antiqua" w:hAnsi="Book Antiqua"/>
          <w:kern w:val="0"/>
          <w:sz w:val="18"/>
          <w:szCs w:val="18"/>
          <w:lang w:eastAsia="pt-BR"/>
        </w:rPr>
      </w:pPr>
      <w:r>
        <w:rPr>
          <w:rFonts w:ascii="Book Antiqua" w:hAnsi="Book Antiqua"/>
          <w:kern w:val="0"/>
          <w:sz w:val="18"/>
          <w:szCs w:val="18"/>
          <w:lang w:eastAsia="pt-BR"/>
        </w:rPr>
        <w:t>IV- título de</w:t>
      </w:r>
      <w:r>
        <w:rPr>
          <w:rFonts w:ascii="Book Antiqua" w:hAnsi="Book Antiqua"/>
          <w:spacing w:val="-2"/>
          <w:kern w:val="0"/>
          <w:sz w:val="18"/>
          <w:szCs w:val="18"/>
          <w:lang w:eastAsia="pt-BR"/>
        </w:rPr>
        <w:t xml:space="preserve"> </w:t>
      </w:r>
      <w:r>
        <w:rPr>
          <w:rFonts w:ascii="Book Antiqua" w:hAnsi="Book Antiqua"/>
          <w:kern w:val="0"/>
          <w:sz w:val="18"/>
          <w:szCs w:val="18"/>
          <w:lang w:eastAsia="pt-BR"/>
        </w:rPr>
        <w:t>capitalização custeado por</w:t>
      </w:r>
      <w:r>
        <w:rPr>
          <w:rFonts w:ascii="Book Antiqua" w:hAnsi="Book Antiqua"/>
          <w:spacing w:val="-2"/>
          <w:kern w:val="0"/>
          <w:sz w:val="18"/>
          <w:szCs w:val="18"/>
          <w:lang w:eastAsia="pt-BR"/>
        </w:rPr>
        <w:t xml:space="preserve"> </w:t>
      </w:r>
      <w:r>
        <w:rPr>
          <w:rFonts w:ascii="Book Antiqua" w:hAnsi="Book Antiqua"/>
          <w:kern w:val="0"/>
          <w:sz w:val="18"/>
          <w:szCs w:val="18"/>
          <w:lang w:eastAsia="pt-BR"/>
        </w:rPr>
        <w:t>pagamento</w:t>
      </w:r>
      <w:r>
        <w:rPr>
          <w:rFonts w:ascii="Book Antiqua" w:hAnsi="Book Antiqua"/>
          <w:spacing w:val="-2"/>
          <w:kern w:val="0"/>
          <w:sz w:val="18"/>
          <w:szCs w:val="18"/>
          <w:lang w:eastAsia="pt-BR"/>
        </w:rPr>
        <w:t xml:space="preserve"> </w:t>
      </w:r>
      <w:r>
        <w:rPr>
          <w:rFonts w:ascii="Book Antiqua" w:hAnsi="Book Antiqua"/>
          <w:kern w:val="0"/>
          <w:sz w:val="18"/>
          <w:szCs w:val="18"/>
          <w:lang w:eastAsia="pt-BR"/>
        </w:rPr>
        <w:t>único, com</w:t>
      </w:r>
      <w:r>
        <w:rPr>
          <w:rFonts w:ascii="Book Antiqua" w:hAnsi="Book Antiqua"/>
          <w:spacing w:val="-2"/>
          <w:kern w:val="0"/>
          <w:sz w:val="18"/>
          <w:szCs w:val="18"/>
          <w:lang w:eastAsia="pt-BR"/>
        </w:rPr>
        <w:t xml:space="preserve"> </w:t>
      </w:r>
      <w:r>
        <w:rPr>
          <w:rFonts w:ascii="Book Antiqua" w:hAnsi="Book Antiqua"/>
          <w:kern w:val="0"/>
          <w:sz w:val="18"/>
          <w:szCs w:val="18"/>
          <w:lang w:eastAsia="pt-BR"/>
        </w:rPr>
        <w:t>resgate</w:t>
      </w:r>
      <w:r>
        <w:rPr>
          <w:rFonts w:ascii="Book Antiqua" w:hAnsi="Book Antiqua"/>
          <w:spacing w:val="-2"/>
          <w:kern w:val="0"/>
          <w:sz w:val="18"/>
          <w:szCs w:val="18"/>
          <w:lang w:eastAsia="pt-BR"/>
        </w:rPr>
        <w:t xml:space="preserve"> </w:t>
      </w:r>
      <w:r>
        <w:rPr>
          <w:rFonts w:ascii="Book Antiqua" w:hAnsi="Book Antiqua"/>
          <w:kern w:val="0"/>
          <w:sz w:val="18"/>
          <w:szCs w:val="18"/>
          <w:lang w:eastAsia="pt-BR"/>
        </w:rPr>
        <w:t>pelo valor</w:t>
      </w:r>
      <w:r>
        <w:rPr>
          <w:rFonts w:ascii="Book Antiqua" w:hAnsi="Book Antiqua"/>
          <w:spacing w:val="-2"/>
          <w:kern w:val="0"/>
          <w:sz w:val="18"/>
          <w:szCs w:val="18"/>
          <w:lang w:eastAsia="pt-BR"/>
        </w:rPr>
        <w:t xml:space="preserve"> </w:t>
      </w:r>
      <w:r>
        <w:rPr>
          <w:rFonts w:ascii="Book Antiqua" w:hAnsi="Book Antiqua"/>
          <w:kern w:val="0"/>
          <w:sz w:val="18"/>
          <w:szCs w:val="18"/>
          <w:lang w:eastAsia="pt-BR"/>
        </w:rPr>
        <w:t>total.</w:t>
      </w:r>
      <w:r>
        <w:rPr>
          <w:rFonts w:ascii="Book Antiqua" w:hAnsi="Book Antiqua"/>
          <w:spacing w:val="-2"/>
          <w:kern w:val="0"/>
          <w:sz w:val="18"/>
          <w:szCs w:val="18"/>
          <w:lang w:eastAsia="pt-BR"/>
        </w:rPr>
        <w:t xml:space="preserve"> </w:t>
      </w:r>
      <w:r>
        <w:rPr>
          <w:rFonts w:ascii="Book Antiqua" w:hAnsi="Book Antiqua"/>
          <w:kern w:val="0"/>
          <w:sz w:val="18"/>
          <w:szCs w:val="18"/>
          <w:lang w:eastAsia="pt-BR"/>
        </w:rPr>
        <w:t>(Incluído pela Lei nº 14.770, de 2023)</w:t>
      </w:r>
    </w:p>
    <w:p>
      <w:pPr>
        <w:pStyle w:val="Normal"/>
        <w:suppressAutoHyphens w:val="false"/>
        <w:spacing w:before="34" w:afterAutospacing="1"/>
        <w:jc w:val="both"/>
        <w:rPr>
          <w:rFonts w:ascii="Book Antiqua" w:hAnsi="Book Antiqua"/>
          <w:vanish/>
          <w:kern w:val="0"/>
          <w:sz w:val="18"/>
          <w:szCs w:val="18"/>
          <w:lang w:val="pt-PT" w:eastAsia="pt-BR"/>
        </w:rPr>
      </w:pPr>
      <w:r>
        <w:rPr>
          <w:rFonts w:ascii="Book Antiqua" w:hAnsi="Book Antiqua"/>
          <w:vanish w:val="false"/>
          <w:kern w:val="0"/>
          <w:sz w:val="18"/>
          <w:szCs w:val="18"/>
          <w:lang w:val="pt-PT" w:eastAsia="pt-BR"/>
        </w:rPr>
      </w:r>
    </w:p>
    <w:p>
      <w:pPr>
        <w:pStyle w:val="Normal"/>
        <w:suppressAutoHyphens w:val="false"/>
        <w:spacing w:lineRule="auto" w:line="276" w:beforeAutospacing="1" w:afterAutospacing="1"/>
        <w:ind w:right="147" w:hanging="0"/>
        <w:jc w:val="both"/>
        <w:rPr>
          <w:rFonts w:ascii="Book Antiqua" w:hAnsi="Book Antiqua" w:cs="Arial"/>
          <w:kern w:val="0"/>
          <w:sz w:val="18"/>
          <w:szCs w:val="18"/>
          <w:lang w:eastAsia="pt-BR"/>
        </w:rPr>
      </w:pPr>
      <w:r>
        <w:rPr>
          <w:rFonts w:ascii="Book Antiqua" w:hAnsi="Book Antiqua"/>
          <w:kern w:val="0"/>
          <w:sz w:val="18"/>
          <w:szCs w:val="18"/>
          <w:lang w:eastAsia="pt-BR"/>
        </w:rPr>
        <w:t>12.2.5 A garantia</w:t>
      </w:r>
      <w:r>
        <w:rPr>
          <w:rFonts w:ascii="Book Antiqua" w:hAnsi="Book Antiqua"/>
          <w:spacing w:val="-2"/>
          <w:kern w:val="0"/>
          <w:sz w:val="18"/>
          <w:szCs w:val="18"/>
          <w:lang w:eastAsia="pt-BR"/>
        </w:rPr>
        <w:t xml:space="preserve"> </w:t>
      </w:r>
      <w:r>
        <w:rPr>
          <w:rFonts w:ascii="Book Antiqua" w:hAnsi="Book Antiqua"/>
          <w:kern w:val="0"/>
          <w:sz w:val="18"/>
          <w:szCs w:val="18"/>
          <w:lang w:eastAsia="pt-BR"/>
        </w:rPr>
        <w:t>adicional soma-se às</w:t>
      </w:r>
      <w:r>
        <w:rPr>
          <w:rFonts w:ascii="Book Antiqua" w:hAnsi="Book Antiqua"/>
          <w:spacing w:val="-2"/>
          <w:kern w:val="0"/>
          <w:sz w:val="18"/>
          <w:szCs w:val="18"/>
          <w:lang w:eastAsia="pt-BR"/>
        </w:rPr>
        <w:t xml:space="preserve"> </w:t>
      </w:r>
      <w:r>
        <w:rPr>
          <w:rFonts w:ascii="Book Antiqua" w:hAnsi="Book Antiqua"/>
          <w:kern w:val="0"/>
          <w:sz w:val="18"/>
          <w:szCs w:val="18"/>
          <w:lang w:eastAsia="pt-BR"/>
        </w:rPr>
        <w:t>demais garantias contratuais exigidas, não as substituindo, e</w:t>
      </w:r>
      <w:r>
        <w:rPr>
          <w:rFonts w:ascii="Book Antiqua" w:hAnsi="Book Antiqua"/>
          <w:spacing w:val="-2"/>
          <w:kern w:val="0"/>
          <w:sz w:val="18"/>
          <w:szCs w:val="18"/>
          <w:lang w:eastAsia="pt-BR"/>
        </w:rPr>
        <w:t xml:space="preserve"> </w:t>
      </w:r>
      <w:r>
        <w:rPr>
          <w:rFonts w:ascii="Book Antiqua" w:hAnsi="Book Antiqua"/>
          <w:kern w:val="0"/>
          <w:sz w:val="18"/>
          <w:szCs w:val="18"/>
          <w:lang w:eastAsia="pt-BR"/>
        </w:rPr>
        <w:t>terá</w:t>
      </w:r>
      <w:r>
        <w:rPr>
          <w:rFonts w:ascii="Book Antiqua" w:hAnsi="Book Antiqua"/>
          <w:spacing w:val="-2"/>
          <w:kern w:val="0"/>
          <w:sz w:val="18"/>
          <w:szCs w:val="18"/>
          <w:lang w:eastAsia="pt-BR"/>
        </w:rPr>
        <w:t xml:space="preserve"> </w:t>
      </w:r>
      <w:r>
        <w:rPr>
          <w:rFonts w:ascii="Book Antiqua" w:hAnsi="Book Antiqua"/>
          <w:kern w:val="0"/>
          <w:sz w:val="18"/>
          <w:szCs w:val="18"/>
          <w:lang w:eastAsia="pt-BR"/>
        </w:rPr>
        <w:t>as mesmas condições e prazo de vigência das demais garantias prestadas.</w:t>
      </w:r>
    </w:p>
    <w:p>
      <w:pPr>
        <w:pStyle w:val="Normal"/>
        <w:suppressAutoHyphens w:val="false"/>
        <w:spacing w:before="34" w:afterAutospacing="1"/>
        <w:jc w:val="both"/>
        <w:rPr>
          <w:rFonts w:ascii="Book Antiqua" w:hAnsi="Book Antiqua"/>
          <w:vanish/>
          <w:kern w:val="0"/>
          <w:sz w:val="18"/>
          <w:szCs w:val="18"/>
          <w:lang w:val="pt-PT" w:eastAsia="pt-BR"/>
        </w:rPr>
      </w:pPr>
      <w:r>
        <w:rPr>
          <w:rFonts w:ascii="Book Antiqua" w:hAnsi="Book Antiqua"/>
          <w:vanish w:val="false"/>
          <w:kern w:val="0"/>
          <w:sz w:val="18"/>
          <w:szCs w:val="18"/>
          <w:lang w:val="pt-PT" w:eastAsia="pt-BR"/>
        </w:rPr>
      </w:r>
    </w:p>
    <w:p>
      <w:pPr>
        <w:pStyle w:val="Normal"/>
        <w:suppressAutoHyphens w:val="false"/>
        <w:spacing w:lineRule="auto" w:line="276" w:beforeAutospacing="1" w:afterAutospacing="1"/>
        <w:ind w:right="153" w:hanging="0"/>
        <w:jc w:val="both"/>
        <w:rPr>
          <w:rFonts w:ascii="Book Antiqua" w:hAnsi="Book Antiqua" w:cs="Arial"/>
          <w:kern w:val="0"/>
          <w:sz w:val="18"/>
          <w:szCs w:val="18"/>
          <w:lang w:eastAsia="pt-BR"/>
        </w:rPr>
      </w:pPr>
      <w:r>
        <w:rPr>
          <w:rFonts w:ascii="Book Antiqua" w:hAnsi="Book Antiqua"/>
          <w:kern w:val="0"/>
          <w:sz w:val="18"/>
          <w:szCs w:val="18"/>
          <w:lang w:eastAsia="pt-BR"/>
        </w:rPr>
        <w:t>12.2.6 A garantia adicional será liberada ou</w:t>
      </w:r>
      <w:r>
        <w:rPr>
          <w:rFonts w:ascii="Book Antiqua" w:hAnsi="Book Antiqua"/>
          <w:spacing w:val="-2"/>
          <w:kern w:val="0"/>
          <w:sz w:val="18"/>
          <w:szCs w:val="18"/>
          <w:lang w:eastAsia="pt-BR"/>
        </w:rPr>
        <w:t xml:space="preserve"> </w:t>
      </w:r>
      <w:r>
        <w:rPr>
          <w:rFonts w:ascii="Book Antiqua" w:hAnsi="Book Antiqua"/>
          <w:kern w:val="0"/>
          <w:sz w:val="18"/>
          <w:szCs w:val="18"/>
          <w:lang w:eastAsia="pt-BR"/>
        </w:rPr>
        <w:t>restituída nas mesmas condições estabelecidas para a</w:t>
      </w:r>
      <w:r>
        <w:rPr>
          <w:rFonts w:ascii="Book Antiqua" w:hAnsi="Book Antiqua"/>
          <w:spacing w:val="-2"/>
          <w:kern w:val="0"/>
          <w:sz w:val="18"/>
          <w:szCs w:val="18"/>
          <w:lang w:eastAsia="pt-BR"/>
        </w:rPr>
        <w:t xml:space="preserve"> </w:t>
      </w:r>
      <w:r>
        <w:rPr>
          <w:rFonts w:ascii="Book Antiqua" w:hAnsi="Book Antiqua"/>
          <w:kern w:val="0"/>
          <w:sz w:val="18"/>
          <w:szCs w:val="18"/>
          <w:lang w:eastAsia="pt-BR"/>
        </w:rPr>
        <w:t>garantia de execução contratual, após o cumprimento integral de todas as obrigações contratuais.</w:t>
      </w:r>
    </w:p>
    <w:p>
      <w:pPr>
        <w:pStyle w:val="Normal"/>
        <w:suppressAutoHyphens w:val="false"/>
        <w:spacing w:before="40" w:afterAutospacing="1"/>
        <w:jc w:val="both"/>
        <w:rPr>
          <w:rFonts w:ascii="Book Antiqua" w:hAnsi="Book Antiqua"/>
          <w:vanish/>
          <w:kern w:val="0"/>
          <w:sz w:val="18"/>
          <w:szCs w:val="18"/>
          <w:lang w:val="pt-PT" w:eastAsia="pt-BR"/>
        </w:rPr>
      </w:pPr>
      <w:r>
        <w:rPr>
          <w:rFonts w:ascii="Book Antiqua" w:hAnsi="Book Antiqua"/>
          <w:vanish w:val="false"/>
          <w:kern w:val="0"/>
          <w:sz w:val="18"/>
          <w:szCs w:val="18"/>
          <w:lang w:val="pt-PT" w:eastAsia="pt-BR"/>
        </w:rPr>
      </w:r>
    </w:p>
    <w:p>
      <w:pPr>
        <w:pStyle w:val="Normal"/>
        <w:suppressAutoHyphens w:val="false"/>
        <w:spacing w:lineRule="auto" w:line="276" w:beforeAutospacing="1" w:afterAutospacing="1"/>
        <w:ind w:right="147" w:hanging="0"/>
        <w:jc w:val="both"/>
        <w:rPr>
          <w:rFonts w:ascii="Book Antiqua" w:hAnsi="Book Antiqua" w:cs="Arial"/>
          <w:kern w:val="0"/>
          <w:sz w:val="18"/>
          <w:szCs w:val="18"/>
          <w:lang w:eastAsia="pt-BR"/>
        </w:rPr>
      </w:pPr>
      <w:r>
        <w:rPr>
          <w:rFonts w:ascii="Book Antiqua" w:hAnsi="Book Antiqua"/>
          <w:kern w:val="0"/>
          <w:sz w:val="18"/>
          <w:szCs w:val="18"/>
          <w:lang w:eastAsia="pt-BR"/>
        </w:rPr>
        <w:t>12.2.7 A exigência da garantia adicional independe de previsão específica no edital, constituindo obrigação legal automática sempre</w:t>
      </w:r>
      <w:r>
        <w:rPr>
          <w:rFonts w:ascii="Book Antiqua" w:hAnsi="Book Antiqua"/>
          <w:spacing w:val="-2"/>
          <w:kern w:val="0"/>
          <w:sz w:val="18"/>
          <w:szCs w:val="18"/>
          <w:lang w:eastAsia="pt-BR"/>
        </w:rPr>
        <w:t xml:space="preserve"> </w:t>
      </w:r>
      <w:r>
        <w:rPr>
          <w:rFonts w:ascii="Book Antiqua" w:hAnsi="Book Antiqua"/>
          <w:kern w:val="0"/>
          <w:sz w:val="18"/>
          <w:szCs w:val="18"/>
          <w:lang w:eastAsia="pt-BR"/>
        </w:rPr>
        <w:t>que verificada a condição prevista no art. 59, §5º da Lei nº 14.133, de 1º de abril de 2021.</w:t>
      </w:r>
    </w:p>
    <w:p>
      <w:pPr>
        <w:pStyle w:val="Normal"/>
        <w:suppressAutoHyphens w:val="false"/>
        <w:spacing w:before="40" w:afterAutospacing="1"/>
        <w:jc w:val="both"/>
        <w:rPr>
          <w:rFonts w:ascii="Book Antiqua" w:hAnsi="Book Antiqua"/>
          <w:vanish/>
          <w:kern w:val="0"/>
          <w:sz w:val="18"/>
          <w:szCs w:val="18"/>
          <w:lang w:val="pt-PT" w:eastAsia="pt-BR"/>
        </w:rPr>
      </w:pPr>
      <w:r>
        <w:rPr>
          <w:rFonts w:ascii="Book Antiqua" w:hAnsi="Book Antiqua"/>
          <w:vanish w:val="false"/>
          <w:kern w:val="0"/>
          <w:sz w:val="18"/>
          <w:szCs w:val="18"/>
          <w:lang w:val="pt-PT" w:eastAsia="pt-BR"/>
        </w:rPr>
      </w:r>
    </w:p>
    <w:p>
      <w:pPr>
        <w:pStyle w:val="Normal"/>
        <w:suppressAutoHyphens w:val="false"/>
        <w:spacing w:lineRule="auto" w:line="276" w:beforeAutospacing="1" w:afterAutospacing="1"/>
        <w:ind w:right="147" w:hanging="0"/>
        <w:jc w:val="both"/>
        <w:rPr>
          <w:rFonts w:ascii="Book Antiqua" w:hAnsi="Book Antiqua" w:cs="Arial"/>
          <w:kern w:val="0"/>
          <w:sz w:val="18"/>
          <w:szCs w:val="18"/>
          <w:lang w:eastAsia="pt-BR"/>
        </w:rPr>
      </w:pPr>
      <w:r>
        <w:rPr>
          <w:rFonts w:ascii="Book Antiqua" w:hAnsi="Book Antiqua"/>
          <w:kern w:val="0"/>
          <w:sz w:val="18"/>
          <w:szCs w:val="18"/>
          <w:lang w:eastAsia="pt-BR"/>
        </w:rPr>
        <w:t>12.2.8 O não cumprimento da obrigação de apresentar a garantia adicional no prazo estabelecido implicará na</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aplicação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das</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sanções</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previstas</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em</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lei</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e</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poderá</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ensejar</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a</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rescisão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do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contrato</w:t>
      </w:r>
      <w:r>
        <w:rPr>
          <w:rFonts w:ascii="Book Antiqua" w:hAnsi="Book Antiqua"/>
          <w:spacing w:val="-14"/>
          <w:kern w:val="0"/>
          <w:sz w:val="18"/>
          <w:szCs w:val="18"/>
          <w:lang w:eastAsia="pt-BR"/>
        </w:rPr>
        <w:t xml:space="preserve"> </w:t>
      </w:r>
      <w:r>
        <w:rPr>
          <w:rFonts w:ascii="Book Antiqua" w:hAnsi="Book Antiqua"/>
          <w:kern w:val="0"/>
          <w:sz w:val="18"/>
          <w:szCs w:val="18"/>
          <w:lang w:eastAsia="pt-BR"/>
        </w:rPr>
        <w:t>por</w:t>
      </w:r>
      <w:r>
        <w:rPr>
          <w:rFonts w:ascii="Book Antiqua" w:hAnsi="Book Antiqua"/>
          <w:spacing w:val="-16"/>
          <w:kern w:val="0"/>
          <w:sz w:val="18"/>
          <w:szCs w:val="18"/>
          <w:lang w:eastAsia="pt-BR"/>
        </w:rPr>
        <w:t xml:space="preserve"> </w:t>
      </w:r>
      <w:r>
        <w:rPr>
          <w:rFonts w:ascii="Book Antiqua" w:hAnsi="Book Antiqua"/>
          <w:kern w:val="0"/>
          <w:sz w:val="18"/>
          <w:szCs w:val="18"/>
          <w:lang w:eastAsia="pt-BR"/>
        </w:rPr>
        <w:t>descumprimento de obrigação contratual.</w:t>
      </w:r>
    </w:p>
    <w:p>
      <w:pPr>
        <w:pStyle w:val="Normal"/>
        <w:jc w:val="both"/>
        <w:rPr>
          <w:rFonts w:ascii="Book Antiqua" w:hAnsi="Book Antiqua" w:cs="Book Antiqua"/>
          <w:b/>
          <w:b/>
          <w:sz w:val="18"/>
          <w:szCs w:val="18"/>
        </w:rPr>
      </w:pPr>
      <w:r>
        <w:rPr>
          <w:rFonts w:cs="Book Antiqua" w:ascii="Book Antiqua" w:hAnsi="Book Antiqua"/>
          <w:b/>
          <w:sz w:val="18"/>
          <w:szCs w:val="18"/>
        </w:rPr>
        <w:t>13. CLÁUSULA DÉCIMA TERCEIRA – DOS CRITÉRIOS DE MEDIÇÃO E PAGAMENTO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 A emissão da Nota Fiscal/Fatura deve ser precedida do recebimento definitivo dos serviços, nos termos abaixo: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13.1.1 Ao final de cada etapa da execução contratual, conforme previsto no Cronograma Físico-Financeiro, a Contratada, apresentará a medição prévia dos serviços executados no período, através de planilha e memória de cálculo detalhada.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13.1.2 Uma etapa será considerada efetivamente concluída quando os serviços previstos para aquela etapa, no Cronograma Físico-Financeiro, estiverem executados em sua totalidade.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13.1.3 A Contratada também apresentará, a cada medição, os documentos comprobatórios da procedência legal dos produtos e subprodutos utilizados naquela etapa da execução contratual, quando for o caso.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13.1.4 Ao final de cada período de faturamento, o fiscal técnico do contrato apurará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13.1.5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13.1.6 A aprovação da medição prévia apresentada pela Contratada não a exime de qualquer das responsabilidades contratuais, nem implica aceitação definitiva dos serviços executados.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13.1.7 Os serviços poderão ser rejeitados, no todo ou em parte, quando em desacordo com as especificações, devendo ser corrigidos/refeitos/substituídos no prazo fixado pelo fiscal do contrato, às custas da Contratada, sem prejuízo da aplicação de penalidades.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13.1.8 O pagamento será efetuado à empresa Contratada no prazo de até 30 (trinta) dias corridos, de acordo com o cronograma físico-financeiro constante do Projeto Básico , contados da data do atesto da área competente da Prefeitura, aposto nos documentos de cobrança, e de acordo com a evolução da obra, conforme cronograma físico-financeiro apresentado pela Secretaria Demandante. Não será efetuado qualquer pagamento à licitante vencedora enquanto perdurar pendência de liquidação de obrigações em virtude de penalidades ou inadimplência contratual.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13.1.9 Não será efetuado qualquer pagamento à Contratada enquanto perdurar pendência de liquidação de obrigações em virtude de penalidades ou inadimplência contratual.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13.1.10 A liberação do pagamento ficará condicionada a consulta prévia ao Sistema de Cadastramento da Prefeitura para verificação da situação da Contratada em relação às condições de habilitação e qualificação exigidas, cujo resultado será impresso e juntado aos autos do processo.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13.1.11 O Contratante pagará a(s) Nota(s) Fiscal (is) / Fatura(s) somente à Contratada, vedada sua negociação com terceiros ou sua colocação em cobrança bancária.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13.1.12 A empresa Contratada deverá fazer constar na Nota Fiscal/Fatura correspondente, emitida sem rasura, e em letra bem legível, o número de sua conta-corrente, o nome do Banco e a respectiva Agência.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13.1.13 A Fiscalização da Prefeitura somente atestará a execução dos serviços e liberará a Nota Fiscal para pagamento, quando cumpridas, pela CONTRATADA, todas as condições pactuadas.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13.1.14 Os pagamentos serão efetuados por etapas de serviços executados, de acordo com o cronograma físico-financeiro e planilha orçamentária apresentada, não se admitindo em nenhuma hipótese o pagamento de materiais entregues no local do objeto.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13.1.15 Para efeito de pagamento das etapas de serviços executados, será observado o que estabelecem as legislações vigentes do INSS e FGTS quanto aos procedimentos de retenção, recolhimento e fiscalizações relativas aos encargos previdenciários.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13.1.16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Prefeitura.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13.2 DOS BOLETINS DE MEDIÇÃO E MEMORIAL DE CÁLCULO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13.2.1 Ao final de cada mês e ao final do serviço, a CONTRATADA deve proceder à elaboração dos Boletins de Medição e respectivo Memorial de Cálculo, os quais deverão ser sequencialmente numerados e conter, no cabeçalho, as seguintes informações mínimas: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Número e data do contrato;</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Número e data da Ordem Inicial de Serviço (OIS);</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Nome da Contratada;</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Data Base de Referência;</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Período da medição;</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Data da medição;</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Saldo contratual;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13.2.2. Os boletins de medição precisam ter, necessariamente, as seguintes colunas: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Descrição do item;</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Unidade de apropriação (m, kg, um, t, m², m³, etc.);</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Quantidade prevista em contrato;</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Preço Unitário;</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Quantidade medida no período;</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Quantidade medida acumulada;</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Código do serviço (vinculando-o à tabela de referência utilizada);</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Preço unitário de referência no orçamento básico;</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Quantidade medida até a medição anterior;</w:t>
      </w:r>
    </w:p>
    <w:p>
      <w:pPr>
        <w:pStyle w:val="Normal"/>
        <w:jc w:val="both"/>
        <w:rPr>
          <w:rFonts w:ascii="Book Antiqua" w:hAnsi="Book Antiqua" w:cs="Book Antiqua"/>
          <w:sz w:val="18"/>
          <w:szCs w:val="18"/>
        </w:rPr>
      </w:pPr>
      <w:r>
        <w:rPr>
          <w:rFonts w:cs="Book Antiqua" w:ascii="Book Antiqua" w:hAnsi="Book Antiqua"/>
          <w:sz w:val="18"/>
          <w:szCs w:val="18"/>
        </w:rPr>
        <w:t>•</w:t>
      </w:r>
      <w:r>
        <w:rPr>
          <w:rFonts w:cs="Book Antiqua" w:ascii="Book Antiqua" w:hAnsi="Book Antiqua"/>
          <w:sz w:val="18"/>
          <w:szCs w:val="18"/>
        </w:rPr>
        <w:tab/>
        <w:t>Saldo (quantitativo de cada serviço).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13.2.3 Memorial de Cálculo que serão lançados no Boletim de Medição contendo todos os Cálculos Aritméticos;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13.3.4. Documentos diversos: declaração, ficha de cotações, testes e ensaios em geral quando necessário;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13.3.5 Relatório Fotográfico com no mínimo 20 (vinte) fotos datadas e georreferenciadas;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13.3.6 Todos os documentos relativos ao Boletim de Medição devem ser devidamente assinados pelos profissionais que atuaram na sua elaboração.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13.3.7 Condicionado ao pagamento será ainda observada as demais condições relacionadas ao Estudo Técnico Preliminar – ETP, Projeto Básico /Minuta de Contrato.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QUARTA – MODELO DE GESTÃO DO CONTRATO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14.1 – O Contrato deverá ser executado fielmente pelas partes, de acordo com as cláusulas avençadas, as normas da Lei nº 14.133, de 1º de abril de 2021 e outras aplicáveis, respondendo cada parte, no que lhe competir, pelas consequências da inexecução total ou parcial.</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14.2– As comunicações entre a CONTRATANTE e a CONTRATADA devem ser realizadas por escrito sempre que o ato exigir tal formalidade, admitindo-se o uso de mensagem eletrônica para esse fim.</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14.3 – A CONTRANTE poderá convocar representante da empresa para adoção de providências que devam  ser cumpridas de imediato.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 xml:space="preserve">14.4 – FISCALIZAÇÃO </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14.4.1. O fiscal do contrato acompanhará a execução do contrato, para que sejam cumpridas todas as condições estabelecidas no contrato - verificar a quantidade, qualidade e os valores dos serviços executados, o atendimento dos padrões e normas requeridos para a intervenção, bem como fazer cumprir todas as exigências do Município de Rondonópolis/MT e as responsabilidades da Contratada, descritas no Projeto Básico e legislação vigente, de modo a assegurar os melhores resultados para a Administração. (art. 22, inciso VI, do Decreto nº 11.246/22). </w:t>
      </w:r>
    </w:p>
    <w:p>
      <w:pPr>
        <w:pStyle w:val="Normal"/>
        <w:jc w:val="both"/>
        <w:rPr>
          <w:rFonts w:ascii="Book Antiqua" w:hAnsi="Book Antiqua" w:cs="Book Antiqua"/>
          <w:sz w:val="18"/>
          <w:szCs w:val="18"/>
        </w:rPr>
      </w:pPr>
      <w:r>
        <w:rPr>
          <w:rFonts w:cs="Book Antiqua" w:ascii="Book Antiqua" w:hAnsi="Book Antiqua"/>
          <w:sz w:val="18"/>
          <w:szCs w:val="18"/>
        </w:rPr>
        <w:t xml:space="preserve">14.4.2. O fiscal do contrato anotará no histórico de gerenciamento do contrato todas as ocorrências relacionadas à execução do contrato, com a descrição do que for necessário para a regularização das faltas ou dos defeitos observados. (art. 117, §1º, da Lei nº 14.133, de 1º de abril de 2021 e art. 22, inciso II, do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14.4.3. Identificada qualquer inexatidão ou irregularidade, o fiscal do contrato emitirá notificações para a correção da execução do contrato, determinando prazo para a correção. (art. 22, inciso III, do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14.4.4. No caso de ocorrências que possam inviabilizar a execução do contrato nas datas aprazadas, o fiscal do contrato comunicará o fato imediatamente ao gestor do contrato. (art. 22, inciso V, do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14.4.5. O fiscal do contrato comunicará ao gestor do contrato, em tempo hábil, o término do contrato sob sua responsabilidade, com vistas à tempestiva renovação ou à prorrogação contratual (art. 22, inciso VII,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14.4.6. O gestor do contrato acompanhará os registros realizados pelos fiscais do contrato, de todas as ocorrências relacionadas à execução do contrato e as medidas adotadas, informando, se for o caso, à autoridade superior àquelas que ultrapassarem a sua competência. (art. 21, inciso II, do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14.4.7. 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incisos I e II, do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14.4.8. Caso ocorram descumprimento das obrigações contratuais, o fiscal do contrato atuará tempestivamente na solução do problema, reportando ao gestor do contrato para que tome as providências cabíveis, quando ultrapassar a sua competência; (art. 23, inciso IV, Decreto nº 11.246/22).</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14.5 – GESTOR DO CONTRATO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14.5.1.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(art. 21, inciso IV,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14.5.2. O gestor do contrato acompanhará a manutenção das condições de habilitação da Contratada, para fins de empenho de despesa e pagamento, e anotará os problemas que obstem o fluxo normal da liquidação e do pagamento da despesa no relatório de riscos eventuais. (art. 21, inciso III, do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14.5.3. O gestor do contrato emitirá documento comprobatório da avaliação realizada pelo fiscais do contrato quanto ao cumprimento de obrigações assumidas pela Contratado, com menção ao seu desempenho na execução contratual, baseado nos indicadores objetivamente definidos e aferidos, e a eventuais penalidades aplicadas, devendo constar do cadastro de atesto de cumprimento de obrigações. (art. 21, inciso VIII, do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14.5.4. O gestor do contrato tomará providências para a formalização de processo administrativo de responsabilização para fins de aplicação de sanções, a ser conduzido pela comissão de que trata o art. 158, Lei nº 14.133, de 1º de abril de 2021, ou pelo agente ou pelo setor com competência para tal, conforme o caso. (art. 21, inciso X, do Decreto nº 11.246/22).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14.5.5.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em consonância com o art. 120, da Lei nº 14.133, de 1º de abril de 2021.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14.5.6. O gestor do contrato deverá enviar a documentação pertinente ao setor de contratos para a formalização dos procedimentos de liquidação e pagamento, no valor dimensionado pela fiscalização e gestão nos termos do contrato.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 xml:space="preserve">14.5.7. O contratado deverá manter preposto aceito pela Administração no local do serviço para representa-lo na execução do contrato. </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14.5.8. A indicação ou a manutenção do preposto da empresa poderá ser recusada pelo órgão, desde que devidamente justificada, devendo a empresa designar outro para o exercício da atividade.</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QUINTA DAS PENALIDADES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15.1 – Pela inexecução total ou parcial das obrigações decorrentes da execução do objeto a ser contratado, a Contratante, garantida a prévia e ampla defesa, poderá aplicar à Licitante Vencedora, segundo a extensão da falta ensejada, as seguintes sanções, observado o disposto nos inciso 1º a 4º do artigo 156 da Lei de Licitações e Contratos Administrativos nº 14.133/2021.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I – Advertência;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a) No caso de 2ª advertência, por razão de medição, mediante prévia e ampla defesa, aplicar-se-á, multa no importe de 5% (cinco por cento) da respectiva medição.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b) Em caso de reincidência da advertência, com aplicação da multa do inciso anterior, poderá ser aplicado a penalidade nos termos do artigo 156, da Lei n.º 14.133 de 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II – Multa;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a) No caso de desistência da proposta, após a fase de habilitação, sem motivo justo aceito pelo Agente de Contratação ou do gestor do contrato, aplicar-se-á multa no valor de 5% (cinco por cento) do valor global do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III – Impedimento de Licitar e Contratar</w:t>
      </w:r>
    </w:p>
    <w:p>
      <w:pPr>
        <w:pStyle w:val="Normal"/>
        <w:jc w:val="both"/>
        <w:rPr>
          <w:rFonts w:ascii="Book Antiqua" w:hAnsi="Book Antiqua" w:cs="Book Antiqua"/>
          <w:sz w:val="18"/>
          <w:szCs w:val="18"/>
        </w:rPr>
      </w:pPr>
      <w:r>
        <w:rPr>
          <w:rFonts w:cs="Book Antiqua" w:ascii="Book Antiqua" w:hAnsi="Book Antiqua"/>
          <w:sz w:val="18"/>
          <w:szCs w:val="18"/>
        </w:rPr>
        <w:t>c) Suspensão temporária do direito de participar de licitações e impedirá o responsável de licitar ou contratar no âmbito da Administração Pública direta e indireta do ente federativo que tiver aplicado a sanção, pelo prazo máximo de 3 (três) anos.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IV – Declaração de inidoneidade para licitar ou contratar.</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15.1.1 – Será aplicada multa de 0,03 % (três centésimos por cento) por dia de atraso na execução dos serviços, incidentes sobre o valor do serviço a que se referir a infração, aplicada em dobro a partir do décimo dia de atraso até o trigésimo dia, quando a CONTRATANTE poderá decidir pela continuidade da multa ou rescisão contratual, aplicando-se na hipótese de rescisão a multa pecuniária prevista no subitem 13.1.2 infra, sem prejuízo da aplicação das penas previstas nos incisos III e IV da cláusula 13.1.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15.1.2 – Será aplicada multa de 20% (vinte por cento) do valor do contrato, nas hipóteses de rescisão contratual por inexecução total do contrato, caracterizando-se quando houver reiterado descumprimento de obrigações contratuais, quando a entrega for inferior a 50% (cinquenta por cento) do contratado ou quando o atraso ultrapassar o prazo limite de trinta dias, estabelecido no subitem 13.1.1 supra.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15.2 – O valor correspondente a qualquer multa aplicada à CONTRATADA, respeitado o princípio do contraditório e da ampla defesa, deverá ser depositado no prazo máximo de 10 (dez) dias, após o recebimento da notificação, na forma definida pela legislação, em favor da CONTRATANTE, ficando a empresa obrigada a comprovar o pagamento, mediante a apresentação da cópia do recibo do depósito efetuado.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15.2.1 –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15.3 – No caso de a CONTRATADA ser credora de valor suficiente ao abatimento da dívida, a CONTRATANTE poderá proceder ao desconto da multa devida na proporção do crédito.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15.4 – Se a multa aplicada for superior ao total dos pagamentos eventualmente devidos, a CONTRATADA responderá pela sua diferença, podendo esta ser cobrada judicialmente.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15.5 – As multas não têm caráter indenizatório e seu pagamento não eximirá a CONTRATADA de ser acionada judicialmente pela responsabilidade civil derivada de perdas e danos junto à CONTRATANTE, decorrentes das infrações cometidas.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15.6 – Para efeitos de aplicação de multas, às infrações são atribuídos graus, de acordo com as tabelas 1 e 2 do Anexo I do Projeto Básico/Executivo.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SEXTA – DAS ALTERAÇÕES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16.1 O presente instrumento de CONTRATO poderá ser alterado, com as devidas justificativas, de acordo com os casos previstos no capítulo VII,  - Da Alteração dos Contratos e dos Preços, da Lei nº 14.133 de 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SÉTIMA – DA EXTINÇÃO E DOS MOTIVOS PARA RESCISÃO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17.1 A extinção do presente instrumento ocorrerá de acordo com o previsto no Artigo 137 da Lei nº 14.133 de 2021, no que couber.</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17.2 A inexecução total ou parcial do CONTRATO enseja a sua extinção, com as consequências contratuais e legais previstas na Lei nº 14.133 de 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17.3 O presente contrato poderá ser rescindido caso ocorra um dos motivos previstos nos artigos 137 e 138 da Lei nº 14.133 de 2021. A extinção será de acordo com o art. 139 e acarretará as consequências do art. 156, todos da Lei nº 14.133 de 2021. e suas alterações.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17.4 A extinção, por algum dos motivos previstos, não dará à CONTRATADA o direito a indenização a qualquer título, independente de interpelação judicial ou extrajudicial.</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17.5 Fica expressamente acordado que, em caso de extinção, nenhuma remuneração será cabível, a não ser o ressarcimento de despesas autorizadas pelo CONTRATANTE e, comprovadamente realizadas pela CONTRATADA, previstas no presente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17.6 Em caso de cisão, incorporação ou fusão da CONTRATADA com outras empresas, caberá ao CONTRATANTE decidir pela continuidade do presente contrato.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OITAVA – DO REEQUILÍBRIO ECONÔMICO-FINANCEIRO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18.1 Em havendo alteração unilateral do contrato que aumente os encargos da Contratada, a Contratante deverá reestabelecer, por aditamento, o equilíbrio econômico-financeiro inicial, nos termos preceituados pelo art. 90 da Lei nº 14.133 de 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18.2 A variação do valor contratual, as atualizações, compensações ou penalizações financeiras decorrentes das condições de pagamento nele previstas, bem como o empenho de dotações orçamentárias suplementares até o limite do seu valor corrigido, não caracterizam alteração do mesmo, podendo ser registrados por simples apostila, dispensando a celebração de aditamento.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18.3 O prazo para respostas dos pedidos de repactuação de preços, restabelecimento do equilíbrio econômico-financeiro, será de no máximo 60 (sessenta) dias a contar da data da solicitação, conforme § 4º do Art. 175 da Lei 14.133 de 2021</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NONA – DA LEI GERAL DE PROTEÇÃO DE DADOS – LGPD</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19.1 A contratada deverá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19.2 Os dados obtidos somente poderão ser utilizados para as finalidades que justificaram seu acesso e de acordo com a boa-fé e com os princípios do art. 6º da LGPD.</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19.3 É vedado o compartilhamento com terceiros dos dados obtidos fora das hipóteses permitidas em Lei.</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19.4 A Administração deverá ser informada no prazo de 5 (cinco) dias úteis sobre todos os contratos de sub-operação firmados ou que venham a ser celebrados pelo Contratado.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19.6 É dever do Contratado orientar e treinar seus empregados sobre os deveres, requisitos e responsabilidades decorrentes da LGPD.</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19.7 O Contratado deverá exigir de sub-operadores e subcontratados o cumprimento dos deveres da presente cláusula, permanecendo integralmente responsável por garantir sua observância.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19.8 O Contratado deverá prestar, no prazo fixado pelo Contratante, prorrogável justificadamente, quaisquer informações acerca dos dados pessoais para cumprimento da LGPD, inclusive quanto a eventual descarte realizado.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19.9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19.9.1 Os referidos bancos de dados devem ser desenvolvidos em formato interoperável, a fim de garantir a reutilização desses dados pela Administração nas hipóteses previstas na LGPD.</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19.11 O contratado está sujeito a ser alterado nos procedimentos pertinentes ao tratamento de dados pessoais, quando indicado pela autoridade competente, em especial a ANPD por meio de opiniões técnicas ou recomendações, editadas na forma da LGPD.</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19.12 Os contratos e convênios de que trata o § 1º do art. 26 da LGPD deverão ser comunicados à autoridade nacional.</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DÉCIMA VIGÉSIMA – DOS CASOS OMISSOS</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20.1 Este Contrato se regula pela Lei nº 14.133 de, pelas suas Cláusulas e pelos preceitos de direito público, aplicando-se, supletivamente, os princípios da teoria geral de contratos e as disposições de direito privado.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VIGÉSIMA PRIMEIRA– DA ANÁLISE</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20.1 A minuta do presente instrumento de CONTRATO foi previamente examinada pela Procuradoria Geral do Município de Rondonópolis/MT, conforme determina a legislação em vigor.</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VIGÉSIMA SEGUNDA - PUBLICAÇÃO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22.1 A publicação resumida deste instrumento no Diário Oficial do Município no sítio eletrônico do Portal Nacional de Contratações Públicas – PNCP, no site da Prefeitura Municipal de Rondonópolis, que é condição indispensável para sua eficácia, será providenciada pela Administração até o quinto dia útil do mês seguinte ao de sua assinatura, para ocorrer no prazo de vinte dias daquela data.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b/>
          <w:b/>
          <w:sz w:val="18"/>
          <w:szCs w:val="18"/>
        </w:rPr>
      </w:pPr>
      <w:r>
        <w:rPr>
          <w:rFonts w:cs="Book Antiqua" w:ascii="Book Antiqua" w:hAnsi="Book Antiqua"/>
          <w:b/>
          <w:sz w:val="18"/>
          <w:szCs w:val="18"/>
        </w:rPr>
        <w:t>CLÁUSULA VIGÉSIMA TERCEIRA– DO FORO</w:t>
      </w:r>
    </w:p>
    <w:p>
      <w:pPr>
        <w:pStyle w:val="Normal"/>
        <w:jc w:val="both"/>
        <w:rPr>
          <w:rFonts w:ascii="Book Antiqua" w:hAnsi="Book Antiqua" w:cs="Book Antiqua"/>
          <w:b/>
          <w:b/>
          <w:sz w:val="18"/>
          <w:szCs w:val="18"/>
        </w:rPr>
      </w:pPr>
      <w:r>
        <w:rPr>
          <w:rFonts w:cs="Book Antiqua" w:ascii="Book Antiqua" w:hAnsi="Book Antiqua"/>
          <w:b/>
          <w:sz w:val="18"/>
          <w:szCs w:val="18"/>
        </w:rPr>
      </w:r>
    </w:p>
    <w:p>
      <w:pPr>
        <w:pStyle w:val="Normal"/>
        <w:jc w:val="both"/>
        <w:rPr>
          <w:rFonts w:ascii="Book Antiqua" w:hAnsi="Book Antiqua" w:cs="Book Antiqua"/>
          <w:sz w:val="18"/>
          <w:szCs w:val="18"/>
        </w:rPr>
      </w:pPr>
      <w:r>
        <w:rPr>
          <w:rFonts w:cs="Book Antiqua" w:ascii="Book Antiqua" w:hAnsi="Book Antiqua"/>
          <w:sz w:val="18"/>
          <w:szCs w:val="18"/>
        </w:rPr>
        <w:t>23.1 Fica eleito o Foro da Comarca de Rondonópolis/MT para dirimir quaisquer dúvidas oriundas das obrigações previstas neste Contrato, com renúncia expressa de qualquer outro por mais privilegiado que seja.</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E por estarem assim, justos e contratados, firmam o presente instrumento em três vias de igual teor e forma, na presença das testemunhas abaixo assinadas.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Rondonópolis/MT,         /         /2026.</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_________________________________</w:t>
      </w:r>
    </w:p>
    <w:p>
      <w:pPr>
        <w:pStyle w:val="Normal"/>
        <w:jc w:val="both"/>
        <w:rPr>
          <w:rFonts w:ascii="Book Antiqua" w:hAnsi="Book Antiqua" w:cs="Book Antiqua"/>
          <w:sz w:val="18"/>
          <w:szCs w:val="18"/>
        </w:rPr>
      </w:pPr>
      <w:r>
        <w:rPr>
          <w:rFonts w:cs="Book Antiqua" w:ascii="Book Antiqua" w:hAnsi="Book Antiqua"/>
          <w:sz w:val="18"/>
          <w:szCs w:val="18"/>
        </w:rPr>
        <w:t>________________________________</w:t>
      </w:r>
    </w:p>
    <w:p>
      <w:pPr>
        <w:pStyle w:val="Normal"/>
        <w:jc w:val="both"/>
        <w:rPr>
          <w:rFonts w:ascii="Book Antiqua" w:hAnsi="Book Antiqua" w:cs="Book Antiqua"/>
          <w:sz w:val="18"/>
          <w:szCs w:val="18"/>
        </w:rPr>
      </w:pPr>
      <w:r>
        <w:rPr>
          <w:rFonts w:cs="Book Antiqua" w:ascii="Book Antiqua" w:hAnsi="Book Antiqua"/>
          <w:sz w:val="18"/>
          <w:szCs w:val="18"/>
        </w:rPr>
        <w:t>Nome completo do prefeito</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pPr>
      <w:r>
        <w:rPr>
          <w:rFonts w:eastAsia="Book Antiqua" w:cs="Book Antiqua" w:ascii="Book Antiqua" w:hAnsi="Book Antiqua"/>
          <w:sz w:val="18"/>
          <w:szCs w:val="18"/>
        </w:rPr>
        <w:t xml:space="preserve"> </w:t>
      </w:r>
      <w:r>
        <w:rPr>
          <w:rFonts w:cs="Book Antiqua" w:ascii="Book Antiqua" w:hAnsi="Book Antiqua"/>
          <w:sz w:val="18"/>
          <w:szCs w:val="18"/>
        </w:rPr>
        <w:t>Contratante</w:t>
      </w:r>
    </w:p>
    <w:p>
      <w:pPr>
        <w:pStyle w:val="Normal"/>
        <w:jc w:val="both"/>
        <w:rPr>
          <w:rFonts w:ascii="Book Antiqua" w:hAnsi="Book Antiqua" w:cs="Book Antiqua"/>
          <w:sz w:val="18"/>
          <w:szCs w:val="18"/>
        </w:rPr>
      </w:pPr>
      <w:r>
        <w:rPr>
          <w:rFonts w:cs="Book Antiqua" w:ascii="Book Antiqua" w:hAnsi="Book Antiqua"/>
          <w:sz w:val="18"/>
          <w:szCs w:val="18"/>
        </w:rPr>
        <w:t>Contratada</w:t>
      </w:r>
    </w:p>
    <w:p>
      <w:pPr>
        <w:pStyle w:val="Normal"/>
        <w:jc w:val="both"/>
        <w:rPr>
          <w:rFonts w:ascii="Book Antiqua" w:hAnsi="Book Antiqua" w:cs="Book Antiqua"/>
          <w:sz w:val="18"/>
          <w:szCs w:val="18"/>
        </w:rPr>
      </w:pPr>
      <w:r>
        <w:rPr>
          <w:rFonts w:cs="Book Antiqua" w:ascii="Book Antiqua" w:hAnsi="Book Antiqua"/>
          <w:sz w:val="18"/>
          <w:szCs w:val="18"/>
        </w:rPr>
        <w:t>TESTEMUNHAS:</w:t>
      </w:r>
    </w:p>
    <w:p>
      <w:pPr>
        <w:pStyle w:val="Normal"/>
        <w:jc w:val="both"/>
        <w:rPr>
          <w:rFonts w:ascii="Book Antiqua" w:hAnsi="Book Antiqua" w:cs="Book Antiqua"/>
          <w:sz w:val="18"/>
          <w:szCs w:val="18"/>
        </w:rPr>
      </w:pPr>
      <w:r>
        <w:rPr>
          <w:rFonts w:cs="Book Antiqua" w:ascii="Book Antiqua" w:hAnsi="Book Antiqua"/>
          <w:sz w:val="18"/>
          <w:szCs w:val="18"/>
        </w:rPr>
      </w:r>
    </w:p>
    <w:p>
      <w:pPr>
        <w:pStyle w:val="Normal"/>
        <w:jc w:val="both"/>
        <w:rPr>
          <w:rFonts w:ascii="Book Antiqua" w:hAnsi="Book Antiqua" w:cs="Book Antiqua"/>
          <w:sz w:val="18"/>
          <w:szCs w:val="18"/>
        </w:rPr>
      </w:pPr>
      <w:r>
        <w:rPr>
          <w:rFonts w:cs="Book Antiqua" w:ascii="Book Antiqua" w:hAnsi="Book Antiqua"/>
          <w:sz w:val="18"/>
          <w:szCs w:val="18"/>
        </w:rPr>
        <w:t>Nome:</w:t>
      </w:r>
    </w:p>
    <w:p>
      <w:pPr>
        <w:pStyle w:val="Normal"/>
        <w:jc w:val="both"/>
        <w:rPr>
          <w:rFonts w:ascii="Book Antiqua" w:hAnsi="Book Antiqua" w:cs="Book Antiqua"/>
          <w:sz w:val="18"/>
          <w:szCs w:val="18"/>
        </w:rPr>
      </w:pPr>
      <w:r>
        <w:rPr>
          <w:rFonts w:cs="Book Antiqua" w:ascii="Book Antiqua" w:hAnsi="Book Antiqua"/>
          <w:sz w:val="18"/>
          <w:szCs w:val="18"/>
        </w:rPr>
        <w:t>CPF:</w:t>
      </w:r>
    </w:p>
    <w:p>
      <w:pPr>
        <w:pStyle w:val="Normal"/>
        <w:jc w:val="both"/>
        <w:rPr>
          <w:rFonts w:ascii="Book Antiqua" w:hAnsi="Book Antiqua" w:cs="Book Antiqua"/>
          <w:sz w:val="18"/>
          <w:szCs w:val="18"/>
        </w:rPr>
      </w:pPr>
      <w:r>
        <w:rPr>
          <w:rFonts w:cs="Book Antiqua" w:ascii="Book Antiqua" w:hAnsi="Book Antiqua"/>
          <w:sz w:val="18"/>
          <w:szCs w:val="18"/>
        </w:rPr>
        <w:t>R.G.</w:t>
      </w:r>
    </w:p>
    <w:p>
      <w:pPr>
        <w:pStyle w:val="Normal"/>
        <w:jc w:val="both"/>
        <w:rPr>
          <w:rFonts w:ascii="Book Antiqua" w:hAnsi="Book Antiqua" w:cs="Book Antiqua"/>
          <w:sz w:val="18"/>
          <w:szCs w:val="18"/>
        </w:rPr>
      </w:pPr>
      <w:r>
        <w:rPr>
          <w:rFonts w:cs="Book Antiqua" w:ascii="Book Antiqua" w:hAnsi="Book Antiqua"/>
          <w:sz w:val="18"/>
          <w:szCs w:val="18"/>
        </w:rPr>
        <w:t>Nome:</w:t>
      </w:r>
    </w:p>
    <w:p>
      <w:pPr>
        <w:pStyle w:val="Normal"/>
        <w:jc w:val="both"/>
        <w:rPr>
          <w:rFonts w:ascii="Book Antiqua" w:hAnsi="Book Antiqua" w:cs="Book Antiqua"/>
          <w:sz w:val="18"/>
          <w:szCs w:val="18"/>
        </w:rPr>
      </w:pPr>
      <w:r>
        <w:rPr>
          <w:rFonts w:cs="Book Antiqua" w:ascii="Book Antiqua" w:hAnsi="Book Antiqua"/>
          <w:sz w:val="18"/>
          <w:szCs w:val="18"/>
        </w:rPr>
        <w:t>CPF:</w:t>
      </w:r>
    </w:p>
    <w:p>
      <w:pPr>
        <w:pStyle w:val="Normal"/>
        <w:jc w:val="both"/>
        <w:rPr>
          <w:rFonts w:ascii="Book Antiqua" w:hAnsi="Book Antiqua" w:cs="Book Antiqua"/>
          <w:sz w:val="18"/>
          <w:szCs w:val="18"/>
        </w:rPr>
      </w:pPr>
      <w:r>
        <w:rPr>
          <w:rFonts w:cs="Book Antiqua" w:ascii="Book Antiqua" w:hAnsi="Book Antiqua"/>
          <w:sz w:val="18"/>
          <w:szCs w:val="18"/>
        </w:rPr>
        <w:t>R.G</w:t>
      </w:r>
    </w:p>
    <w:p>
      <w:pPr>
        <w:pStyle w:val="Normal"/>
        <w:rPr>
          <w:rFonts w:ascii="Book Antiqua" w:hAnsi="Book Antiqua"/>
          <w:sz w:val="18"/>
          <w:szCs w:val="18"/>
        </w:rPr>
      </w:pPr>
      <w:r>
        <w:rPr>
          <w:rFonts w:ascii="Book Antiqua" w:hAnsi="Book Antiqua"/>
          <w:sz w:val="18"/>
          <w:szCs w:val="18"/>
        </w:rPr>
      </w:r>
    </w:p>
    <w:p>
      <w:pPr>
        <w:pStyle w:val="Corpodotexto"/>
        <w:spacing w:before="0" w:after="283"/>
        <w:rPr>
          <w:rFonts w:ascii="Book Antiqua" w:hAnsi="Book Antiqua" w:eastAsia="Times New Roman" w:cs="Times New Roman"/>
          <w:b w:val="false"/>
          <w:b w:val="false"/>
          <w:sz w:val="18"/>
          <w:szCs w:val="18"/>
          <w:shd w:fill="FFFFFF" w:val="clear"/>
        </w:rPr>
      </w:pPr>
      <w:r>
        <w:rPr/>
      </w:r>
    </w:p>
    <w:sectPr>
      <w:headerReference w:type="default" r:id="rId65"/>
      <w:footerReference w:type="default" r:id="rId66"/>
      <w:type w:val="nextPage"/>
      <w:pgSz w:w="11906" w:h="16838"/>
      <w:pgMar w:left="1440" w:right="746" w:gutter="0" w:header="284" w:top="712" w:footer="0" w:bottom="1134"/>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Book Antiqua">
    <w:charset w:val="00"/>
    <w:family w:val="roman"/>
    <w:pitch w:val="variable"/>
  </w:font>
  <w:font w:name="Century Gothic">
    <w:charset w:val="00"/>
    <w:family w:val="roman"/>
    <w:pitch w:val="variable"/>
  </w:font>
  <w:font w:name="Tahoma">
    <w:charset w:val="00"/>
    <w:family w:val="roman"/>
    <w:pitch w:val="variable"/>
  </w:font>
  <w:font w:name="Segoe UI">
    <w:charset w:val="00"/>
    <w:family w:val="roman"/>
    <w:pitch w:val="variable"/>
  </w:font>
  <w:font w:name="Symbol">
    <w:charset w:val="00"/>
    <w:family w:val="roman"/>
    <w:pitch w:val="variable"/>
  </w:font>
  <w:font w:name="Wingding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Garamond">
    <w:charset w:val="00"/>
    <w:family w:val="roman"/>
    <w:pitch w:val="variable"/>
  </w:font>
  <w:font w:name="Arial">
    <w:charset w:val="00"/>
    <w:family w:val="roman"/>
    <w:pitch w:val="variable"/>
  </w:font>
  <w:font w:name="Wingdings">
    <w:charset w:val="02"/>
    <w:family w:val="auto"/>
    <w:pitch w:val="variable"/>
  </w:font>
  <w:font w:name="OpenSymbol">
    <w:altName w:val="Arial Unicode MS"/>
    <w:charset w:val="01"/>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sz w:val="2"/>
      </w:rPr>
    </w:pPr>
    <w:r>
      <w:rPr>
        <w:sz w:val="2"/>
      </w:rPr>
    </w:r>
  </w:p>
  <w:tbl>
    <w:tblPr>
      <w:tblW w:w="9936" w:type="dxa"/>
      <w:jc w:val="center"/>
      <w:tblInd w:w="0" w:type="dxa"/>
      <w:tblLayout w:type="fixed"/>
      <w:tblCellMar>
        <w:top w:w="55" w:type="dxa"/>
        <w:left w:w="108" w:type="dxa"/>
        <w:bottom w:w="55" w:type="dxa"/>
        <w:right w:w="108" w:type="dxa"/>
      </w:tblCellMar>
      <w:tblLook w:firstRow="1" w:noVBand="1" w:lastRow="0" w:firstColumn="1" w:lastColumn="0" w:noHBand="0" w:val="04a0"/>
    </w:tblPr>
    <w:tblGrid>
      <w:gridCol w:w="9936"/>
    </w:tblGrid>
    <w:tr>
      <w:trPr/>
      <w:tc>
        <w:tcPr>
          <w:tcW w:w="9936" w:type="dxa"/>
          <w:tcBorders/>
        </w:tcPr>
        <w:p>
          <w:pPr>
            <w:pStyle w:val="Rodap"/>
            <w:widowControl w:val="false"/>
            <w:ind w:right="360" w:hanging="0"/>
            <w:jc w:val="center"/>
            <w:rPr/>
          </w:pPr>
          <w:r>
            <mc:AlternateContent>
              <mc:Choice Requires="wps">
                <w:drawing>
                  <wp:anchor behindDoc="0" distT="0" distB="0" distL="0" distR="0" simplePos="0" locked="0" layoutInCell="0" allowOverlap="1" relativeHeight="114">
                    <wp:simplePos x="0" y="0"/>
                    <wp:positionH relativeFrom="column">
                      <wp:posOffset>6172200</wp:posOffset>
                    </wp:positionH>
                    <wp:positionV relativeFrom="paragraph">
                      <wp:posOffset>67945</wp:posOffset>
                    </wp:positionV>
                    <wp:extent cx="200025" cy="232410"/>
                    <wp:effectExtent l="0" t="0" r="0" b="0"/>
                    <wp:wrapSquare wrapText="bothSides"/>
                    <wp:docPr id="5" name="Quadro1"/>
                    <a:graphic xmlns:a="http://schemas.openxmlformats.org/drawingml/2006/main">
                      <a:graphicData uri="http://schemas.microsoft.com/office/word/2010/wordprocessingShape">
                        <wps:wsp>
                          <wps:cNvSpPr/>
                          <wps:spPr>
                            <a:xfrm>
                              <a:off x="0" y="0"/>
                              <a:ext cx="200160" cy="232560"/>
                            </a:xfrm>
                            <a:prstGeom prst="rect">
                              <a:avLst/>
                            </a:prstGeom>
                            <a:solidFill>
                              <a:srgbClr val="ffffff"/>
                            </a:solidFill>
                            <a:ln w="0">
                              <a:noFill/>
                            </a:ln>
                          </wps:spPr>
                          <wps:style>
                            <a:lnRef idx="0"/>
                            <a:fillRef idx="0"/>
                            <a:effectRef idx="0"/>
                            <a:fontRef idx="minor"/>
                          </wps:style>
                          <wps:txbx>
                            <w:txbxContent>
                              <w:p>
                                <w:pPr>
                                  <w:pStyle w:val="Rodap"/>
                                  <w:widowControl w:val="false"/>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57</w:t>
                                </w:r>
                                <w:r>
                                  <w:rPr>
                                    <w:rStyle w:val="Pagenumber"/>
                                    <w:color w:val="000000"/>
                                  </w:rPr>
                                  <w:fldChar w:fldCharType="end"/>
                                </w:r>
                              </w:p>
                            </w:txbxContent>
                          </wps:txbx>
                          <wps:bodyPr lIns="0" rIns="0" tIns="0" bIns="0" anchor="t">
                            <a:noAutofit/>
                          </wps:bodyPr>
                        </wps:wsp>
                      </a:graphicData>
                    </a:graphic>
                  </wp:anchor>
                </w:drawing>
              </mc:Choice>
              <mc:Fallback>
                <w:pict>
                  <v:rect id="shape_0" ID="Quadro1" path="m0,0l-2147483645,0l-2147483645,-2147483646l0,-2147483646xe" fillcolor="white" stroked="f" o:allowincell="f" style="position:absolute;margin-left:486pt;margin-top:5.35pt;width:15.7pt;height:18.25pt;mso-wrap-style:square;v-text-anchor:top">
                    <v:fill o:detectmouseclick="t" type="solid" color2="black"/>
                    <v:stroke color="#3465a4" joinstyle="round" endcap="flat"/>
                    <v:textbox>
                      <w:txbxContent>
                        <w:p>
                          <w:pPr>
                            <w:pStyle w:val="Rodap"/>
                            <w:widowControl w:val="false"/>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57</w:t>
                          </w:r>
                          <w:r>
                            <w:rPr>
                              <w:rStyle w:val="Pagenumber"/>
                              <w:color w:val="000000"/>
                            </w:rPr>
                            <w:fldChar w:fldCharType="end"/>
                          </w:r>
                        </w:p>
                      </w:txbxContent>
                    </v:textbox>
                    <w10:wrap type="square"/>
                  </v:rect>
                </w:pict>
              </mc:Fallback>
            </mc:AlternateContent>
          </w:r>
          <w:r>
            <w:rPr>
              <w:rFonts w:cs="Arial;Arial" w:ascii="Arial;Arial" w:hAnsi="Arial;Arial"/>
              <w:b/>
              <w:sz w:val="16"/>
            </w:rPr>
            <w:t>Av. Duque de Caxias, 526 – Vila Aurora – CEP 78740-100 – Rondonópolis/MT</w:t>
          </w:r>
        </w:p>
        <w:p>
          <w:pPr>
            <w:pStyle w:val="Rodap"/>
            <w:widowControl w:val="false"/>
            <w:jc w:val="center"/>
            <w:rPr/>
          </w:pPr>
          <w:r>
            <w:rPr>
              <w:rFonts w:cs="Arial;Arial" w:ascii="Arial;Arial" w:hAnsi="Arial;Arial"/>
              <w:b/>
              <w:sz w:val="16"/>
              <w:lang w:val="en-US"/>
            </w:rPr>
            <w:t xml:space="preserve">Home Page: </w:t>
          </w:r>
          <w:hyperlink r:id="rId1" w:tgtFrame="_top">
            <w:r>
              <w:rPr>
                <w:rStyle w:val="LinkdaInternet"/>
                <w:rFonts w:cs="Arial;Arial" w:ascii="Arial;Arial" w:hAnsi="Arial;Arial"/>
                <w:b/>
                <w:sz w:val="16"/>
                <w:lang w:val="en-US"/>
              </w:rPr>
              <w:t>www.rondonopolis.mt.gov.br</w:t>
            </w:r>
          </w:hyperlink>
          <w:r>
            <w:rPr>
              <w:rFonts w:cs="Arial;Arial" w:ascii="Arial;Arial" w:hAnsi="Arial;Arial"/>
              <w:b/>
              <w:sz w:val="16"/>
              <w:lang w:val="en-US"/>
            </w:rPr>
            <w:t xml:space="preserve">       </w:t>
          </w:r>
        </w:p>
      </w:tc>
    </w:tr>
  </w:tbl>
  <w:p>
    <w:pPr>
      <w:pStyle w:val="Rodap"/>
      <w:rPr>
        <w:lang w:val="en-US"/>
      </w:rPr>
    </w:pPr>
    <w:r>
      <w:rPr>
        <w:lang w:val="en-US"/>
      </w:rPr>
    </w:r>
  </w:p>
  <w:p>
    <w:pPr>
      <w:pStyle w:val="Rodap"/>
      <w:ind w:right="360" w:hanging="0"/>
      <w:rPr>
        <w:lang w:val="en-US"/>
      </w:rPr>
    </w:pPr>
    <w:r>
      <w:rPr>
        <w:lang w:val="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270" w:type="dxa"/>
      <w:jc w:val="left"/>
      <w:tblInd w:w="-108" w:type="dxa"/>
      <w:tblLayout w:type="fixed"/>
      <w:tblCellMar>
        <w:top w:w="55" w:type="dxa"/>
        <w:left w:w="108" w:type="dxa"/>
        <w:bottom w:w="55" w:type="dxa"/>
        <w:right w:w="108" w:type="dxa"/>
      </w:tblCellMar>
      <w:tblLook w:firstRow="1" w:noVBand="1" w:lastRow="0" w:firstColumn="1" w:lastColumn="0" w:noHBand="0" w:val="04a0"/>
    </w:tblPr>
    <w:tblGrid>
      <w:gridCol w:w="9270"/>
    </w:tblGrid>
    <w:tr>
      <w:trPr>
        <w:trHeight w:val="1099" w:hRule="atLeast"/>
      </w:trPr>
      <w:tc>
        <w:tcPr>
          <w:tcW w:w="9270" w:type="dxa"/>
          <w:tcBorders/>
          <w:vAlign w:val="center"/>
        </w:tcPr>
        <w:p>
          <w:pPr>
            <w:pStyle w:val="Cabealho"/>
            <w:widowControl w:val="false"/>
            <w:tabs>
              <w:tab w:val="center" w:pos="4252" w:leader="none"/>
              <w:tab w:val="right" w:pos="8504" w:leader="none"/>
              <w:tab w:val="right" w:pos="9360" w:leader="none"/>
            </w:tabs>
            <w:snapToGrid w:val="false"/>
            <w:jc w:val="center"/>
            <w:rPr/>
          </w:pPr>
          <w:r>
            <w:rPr/>
            <w:drawing>
              <wp:inline distT="0" distB="0" distL="0" distR="0">
                <wp:extent cx="3419475" cy="685800"/>
                <wp:effectExtent l="0" t="0" r="0" b="0"/>
                <wp:docPr id="4" name="Imagem 5" descr="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5" descr="COR"/>
                        <pic:cNvPicPr>
                          <a:picLocks noChangeAspect="1" noChangeArrowheads="1"/>
                        </pic:cNvPicPr>
                      </pic:nvPicPr>
                      <pic:blipFill>
                        <a:blip r:embed="rId1"/>
                        <a:stretch>
                          <a:fillRect/>
                        </a:stretch>
                      </pic:blipFill>
                      <pic:spPr bwMode="auto">
                        <a:xfrm>
                          <a:off x="0" y="0"/>
                          <a:ext cx="3419475" cy="685800"/>
                        </a:xfrm>
                        <a:prstGeom prst="rect">
                          <a:avLst/>
                        </a:prstGeom>
                      </pic:spPr>
                    </pic:pic>
                  </a:graphicData>
                </a:graphic>
              </wp:inline>
            </w:drawing>
          </w:r>
        </w:p>
      </w:tc>
    </w:tr>
  </w:tbl>
  <w:p>
    <w:pPr>
      <w:pStyle w:val="Cabealho"/>
      <w:rPr>
        <w:b/>
        <w:b/>
      </w:rPr>
    </w:pPr>
    <w:r>
      <w:rPr>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0" w:hanging="0"/>
      </w:pPr>
      <w:rPr>
        <w:rFonts w:ascii="Wingdings" w:hAnsi="Wingdings" w:cs="Wingdings"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l"/>
      <w:lvlJc w:val="left"/>
      <w:pPr>
        <w:tabs>
          <w:tab w:val="num" w:pos="0"/>
        </w:tabs>
        <w:ind w:left="0" w:hanging="0"/>
      </w:pPr>
      <w:rPr>
        <w:rFonts w:ascii="Wingdings" w:hAnsi="Wingdings" w:cs="Wingdings"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l"/>
      <w:lvlJc w:val="left"/>
      <w:pPr>
        <w:tabs>
          <w:tab w:val="num" w:pos="0"/>
        </w:tabs>
        <w:ind w:left="0" w:hanging="0"/>
      </w:pPr>
      <w:rPr>
        <w:rFonts w:ascii="Wingdings" w:hAnsi="Wingdings" w:cs="Wingdings"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22" w:hanging="360"/>
      </w:pPr>
      <w:rPr>
        <w:rFonts w:ascii="Symbol" w:hAnsi="Symbol" w:cs="Symbol" w:hint="default"/>
      </w:rPr>
    </w:lvl>
    <w:lvl w:ilvl="1">
      <w:start w:val="1"/>
      <w:numFmt w:val="bullet"/>
      <w:lvlText w:val="o"/>
      <w:lvlJc w:val="left"/>
      <w:pPr>
        <w:tabs>
          <w:tab w:val="num" w:pos="0"/>
        </w:tabs>
        <w:ind w:left="1942" w:hanging="360"/>
      </w:pPr>
      <w:rPr>
        <w:rFonts w:ascii="Courier New" w:hAnsi="Courier New" w:cs="Courier New" w:hint="default"/>
      </w:rPr>
    </w:lvl>
    <w:lvl w:ilvl="2">
      <w:start w:val="1"/>
      <w:numFmt w:val="bullet"/>
      <w:lvlText w:val=""/>
      <w:lvlJc w:val="left"/>
      <w:pPr>
        <w:tabs>
          <w:tab w:val="num" w:pos="0"/>
        </w:tabs>
        <w:ind w:left="2662" w:hanging="360"/>
      </w:pPr>
      <w:rPr>
        <w:rFonts w:ascii="Wingdings" w:hAnsi="Wingdings" w:cs="Wingdings" w:hint="default"/>
      </w:rPr>
    </w:lvl>
    <w:lvl w:ilvl="3">
      <w:start w:val="1"/>
      <w:numFmt w:val="bullet"/>
      <w:lvlText w:val=""/>
      <w:lvlJc w:val="left"/>
      <w:pPr>
        <w:tabs>
          <w:tab w:val="num" w:pos="0"/>
        </w:tabs>
        <w:ind w:left="3382" w:hanging="360"/>
      </w:pPr>
      <w:rPr>
        <w:rFonts w:ascii="Symbol" w:hAnsi="Symbol" w:cs="Symbol" w:hint="default"/>
      </w:rPr>
    </w:lvl>
    <w:lvl w:ilvl="4">
      <w:start w:val="1"/>
      <w:numFmt w:val="bullet"/>
      <w:lvlText w:val="o"/>
      <w:lvlJc w:val="left"/>
      <w:pPr>
        <w:tabs>
          <w:tab w:val="num" w:pos="0"/>
        </w:tabs>
        <w:ind w:left="4102" w:hanging="360"/>
      </w:pPr>
      <w:rPr>
        <w:rFonts w:ascii="Courier New" w:hAnsi="Courier New" w:cs="Courier New" w:hint="default"/>
      </w:rPr>
    </w:lvl>
    <w:lvl w:ilvl="5">
      <w:start w:val="1"/>
      <w:numFmt w:val="bullet"/>
      <w:lvlText w:val=""/>
      <w:lvlJc w:val="left"/>
      <w:pPr>
        <w:tabs>
          <w:tab w:val="num" w:pos="0"/>
        </w:tabs>
        <w:ind w:left="4822" w:hanging="360"/>
      </w:pPr>
      <w:rPr>
        <w:rFonts w:ascii="Wingdings" w:hAnsi="Wingdings" w:cs="Wingdings" w:hint="default"/>
      </w:rPr>
    </w:lvl>
    <w:lvl w:ilvl="6">
      <w:start w:val="1"/>
      <w:numFmt w:val="bullet"/>
      <w:lvlText w:val=""/>
      <w:lvlJc w:val="left"/>
      <w:pPr>
        <w:tabs>
          <w:tab w:val="num" w:pos="0"/>
        </w:tabs>
        <w:ind w:left="5542" w:hanging="360"/>
      </w:pPr>
      <w:rPr>
        <w:rFonts w:ascii="Symbol" w:hAnsi="Symbol" w:cs="Symbol" w:hint="default"/>
      </w:rPr>
    </w:lvl>
    <w:lvl w:ilvl="7">
      <w:start w:val="1"/>
      <w:numFmt w:val="bullet"/>
      <w:lvlText w:val="o"/>
      <w:lvlJc w:val="left"/>
      <w:pPr>
        <w:tabs>
          <w:tab w:val="num" w:pos="0"/>
        </w:tabs>
        <w:ind w:left="6262" w:hanging="360"/>
      </w:pPr>
      <w:rPr>
        <w:rFonts w:ascii="Courier New" w:hAnsi="Courier New" w:cs="Courier New" w:hint="default"/>
      </w:rPr>
    </w:lvl>
    <w:lvl w:ilvl="8">
      <w:start w:val="1"/>
      <w:numFmt w:val="bullet"/>
      <w:lvlText w:val=""/>
      <w:lvlJc w:val="left"/>
      <w:pPr>
        <w:tabs>
          <w:tab w:val="num" w:pos="0"/>
        </w:tabs>
        <w:ind w:left="6982"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1941" w:hanging="525"/>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9936" w:hanging="144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128" w:hanging="180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1941" w:hanging="525"/>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9936" w:hanging="144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128" w:hanging="1800"/>
      </w:pPr>
      <w:rPr/>
    </w:lvl>
  </w:abstractNum>
  <w:abstractNum w:abstractNumId="8">
    <w:lvl w:ilvl="0">
      <w:start w:val="1"/>
      <w:numFmt w:val="bullet"/>
      <w:lvlText w:val=""/>
      <w:lvlJc w:val="left"/>
      <w:pPr>
        <w:tabs>
          <w:tab w:val="num" w:pos="0"/>
        </w:tabs>
        <w:ind w:left="0" w:hanging="0"/>
      </w:pPr>
      <w:rPr>
        <w:rFonts w:ascii="Wingdings" w:hAnsi="Wingdings" w:cs="Wingdings"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l"/>
      <w:lvlJc w:val="left"/>
      <w:pPr>
        <w:tabs>
          <w:tab w:val="num" w:pos="0"/>
        </w:tabs>
        <w:ind w:left="0" w:hanging="0"/>
      </w:pPr>
      <w:rPr>
        <w:rFonts w:ascii="Wingdings" w:hAnsi="Wingdings" w:cs="Wingdings"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l"/>
      <w:lvlJc w:val="left"/>
      <w:pPr>
        <w:tabs>
          <w:tab w:val="num" w:pos="0"/>
        </w:tabs>
        <w:ind w:left="0" w:hanging="0"/>
      </w:pPr>
      <w:rPr>
        <w:rFonts w:ascii="Wingdings" w:hAnsi="Wingdings" w:cs="Wingdings"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9">
    <w:lvl w:ilvl="0">
      <w:start w:val="1"/>
      <w:numFmt w:val="bullet"/>
      <w:lvlText w:val=""/>
      <w:lvlJc w:val="left"/>
      <w:pPr>
        <w:tabs>
          <w:tab w:val="num" w:pos="0"/>
        </w:tabs>
        <w:ind w:left="0" w:hanging="0"/>
      </w:pPr>
      <w:rPr>
        <w:rFonts w:ascii="Wingdings" w:hAnsi="Wingdings" w:cs="Wingdings"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l"/>
      <w:lvlJc w:val="left"/>
      <w:pPr>
        <w:tabs>
          <w:tab w:val="num" w:pos="0"/>
        </w:tabs>
        <w:ind w:left="0" w:hanging="0"/>
      </w:pPr>
      <w:rPr>
        <w:rFonts w:ascii="Wingdings" w:hAnsi="Wingdings" w:cs="Wingdings"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l"/>
      <w:lvlJc w:val="left"/>
      <w:pPr>
        <w:tabs>
          <w:tab w:val="num" w:pos="0"/>
        </w:tabs>
        <w:ind w:left="0" w:hanging="0"/>
      </w:pPr>
      <w:rPr>
        <w:rFonts w:ascii="Wingdings" w:hAnsi="Wingdings" w:cs="Wingdings"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10">
    <w:lvl w:ilvl="0">
      <w:start w:val="1"/>
      <w:numFmt w:val="bullet"/>
      <w:lvlText w:val=""/>
      <w:lvlJc w:val="left"/>
      <w:pPr>
        <w:tabs>
          <w:tab w:val="num" w:pos="0"/>
        </w:tabs>
        <w:ind w:left="0" w:hanging="0"/>
      </w:pPr>
      <w:rPr>
        <w:rFonts w:ascii="Wingdings" w:hAnsi="Wingdings" w:cs="Wingdings"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l"/>
      <w:lvlJc w:val="left"/>
      <w:pPr>
        <w:tabs>
          <w:tab w:val="num" w:pos="0"/>
        </w:tabs>
        <w:ind w:left="0" w:hanging="0"/>
      </w:pPr>
      <w:rPr>
        <w:rFonts w:ascii="Wingdings" w:hAnsi="Wingdings" w:cs="Wingdings"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l"/>
      <w:lvlJc w:val="left"/>
      <w:pPr>
        <w:tabs>
          <w:tab w:val="num" w:pos="0"/>
        </w:tabs>
        <w:ind w:left="0" w:hanging="0"/>
      </w:pPr>
      <w:rPr>
        <w:rFonts w:ascii="Wingdings" w:hAnsi="Wingdings" w:cs="Wingdings"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decimal"/>
      <w:lvlText w:val="%1"/>
      <w:lvlJc w:val="left"/>
      <w:pPr>
        <w:tabs>
          <w:tab w:val="num" w:pos="0"/>
        </w:tabs>
        <w:ind w:left="360" w:hanging="360"/>
      </w:pPr>
      <w:rPr>
        <w:b w:val="false"/>
      </w:r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720" w:hanging="720"/>
      </w:pPr>
      <w:rPr>
        <w:b w:val="false"/>
      </w:rPr>
    </w:lvl>
    <w:lvl w:ilvl="5">
      <w:start w:val="1"/>
      <w:numFmt w:val="decimal"/>
      <w:lvlText w:val="%1.%2.%3.%4.%5.%6"/>
      <w:lvlJc w:val="left"/>
      <w:pPr>
        <w:tabs>
          <w:tab w:val="num" w:pos="0"/>
        </w:tabs>
        <w:ind w:left="1080" w:hanging="1080"/>
      </w:pPr>
      <w:rPr>
        <w:b w:val="false"/>
      </w:rPr>
    </w:lvl>
    <w:lvl w:ilvl="6">
      <w:start w:val="1"/>
      <w:numFmt w:val="decimal"/>
      <w:lvlText w:val="%1.%2.%3.%4.%5.%6.%7"/>
      <w:lvlJc w:val="left"/>
      <w:pPr>
        <w:tabs>
          <w:tab w:val="num" w:pos="0"/>
        </w:tabs>
        <w:ind w:left="1080" w:hanging="1080"/>
      </w:pPr>
      <w:rPr>
        <w:b w:val="false"/>
      </w:rPr>
    </w:lvl>
    <w:lvl w:ilvl="7">
      <w:start w:val="1"/>
      <w:numFmt w:val="decimal"/>
      <w:lvlText w:val="%1.%2.%3.%4.%5.%6.%7.%8"/>
      <w:lvlJc w:val="left"/>
      <w:pPr>
        <w:tabs>
          <w:tab w:val="num" w:pos="0"/>
        </w:tabs>
        <w:ind w:left="1440" w:hanging="1440"/>
      </w:pPr>
      <w:rPr>
        <w:b w:val="false"/>
      </w:rPr>
    </w:lvl>
    <w:lvl w:ilvl="8">
      <w:start w:val="1"/>
      <w:numFmt w:val="decimal"/>
      <w:lvlText w:val="%1.%2.%3.%4.%5.%6.%7.%8.%9"/>
      <w:lvlJc w:val="left"/>
      <w:pPr>
        <w:tabs>
          <w:tab w:val="num" w:pos="0"/>
        </w:tabs>
        <w:ind w:left="1440" w:hanging="1440"/>
      </w:pPr>
      <w:rPr>
        <w:b w:val="false"/>
      </w:r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6"/>
    <w:lvlOverride w:ilvl="0">
      <w:startOverride w:val="1"/>
    </w:lvlOverride>
  </w:num>
  <w:num w:numId="34">
    <w:abstractNumId w:val="6"/>
  </w:num>
  <w:num w:numId="35">
    <w:abstractNumId w:val="2"/>
  </w:num>
  <w:num w:numId="36">
    <w:abstractNumId w:val="2"/>
  </w:num>
  <w:num w:numId="37">
    <w:abstractNumId w:val="2"/>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 w:numId="49">
    <w:abstractNumId w:val="3"/>
  </w:num>
  <w:num w:numId="50">
    <w:abstractNumId w:val="3"/>
  </w:num>
  <w:num w:numId="51">
    <w:abstractNumId w:val="3"/>
  </w:num>
  <w:num w:numId="52">
    <w:abstractNumId w:val="3"/>
  </w:num>
  <w:num w:numId="53">
    <w:abstractNumId w:val="3"/>
  </w:num>
  <w:num w:numId="54">
    <w:abstractNumId w:val="3"/>
  </w:num>
  <w:num w:numId="55">
    <w:abstractNumId w:val="3"/>
  </w:num>
  <w:num w:numId="56">
    <w:abstractNumId w:val="3"/>
  </w:num>
  <w:num w:numId="57">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pt-B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e1ec6"/>
    <w:pPr>
      <w:widowControl/>
      <w:suppressAutoHyphens w:val="true"/>
      <w:bidi w:val="0"/>
      <w:spacing w:before="0" w:after="0"/>
      <w:jc w:val="left"/>
    </w:pPr>
    <w:rPr>
      <w:rFonts w:ascii="Times New Roman" w:hAnsi="Times New Roman" w:eastAsia="Times New Roman" w:cs="Times New Roman"/>
      <w:color w:val="000000"/>
      <w:kern w:val="2"/>
      <w:sz w:val="20"/>
      <w:szCs w:val="20"/>
      <w:lang w:bidi="ar-SA" w:val="pt-BR" w:eastAsia="zh-CN"/>
    </w:rPr>
  </w:style>
  <w:style w:type="paragraph" w:styleId="Ttulo1">
    <w:name w:val="Heading 1"/>
    <w:basedOn w:val="Normal"/>
    <w:next w:val="Normal"/>
    <w:qFormat/>
    <w:pPr>
      <w:keepNext w:val="true"/>
      <w:numPr>
        <w:ilvl w:val="0"/>
        <w:numId w:val="1"/>
      </w:numPr>
      <w:tabs>
        <w:tab w:val="clear" w:pos="708"/>
        <w:tab w:val="left" w:pos="0" w:leader="none"/>
      </w:tabs>
      <w:jc w:val="center"/>
      <w:outlineLvl w:val="0"/>
    </w:pPr>
    <w:rPr>
      <w:b/>
      <w:sz w:val="24"/>
    </w:rPr>
  </w:style>
  <w:style w:type="paragraph" w:styleId="Ttulo2">
    <w:name w:val="Heading 2"/>
    <w:basedOn w:val="Normal"/>
    <w:next w:val="Normal"/>
    <w:qFormat/>
    <w:pPr>
      <w:keepNext w:val="true"/>
      <w:numPr>
        <w:ilvl w:val="1"/>
        <w:numId w:val="1"/>
      </w:numPr>
      <w:tabs>
        <w:tab w:val="clear" w:pos="708"/>
        <w:tab w:val="left" w:pos="0" w:leader="none"/>
      </w:tabs>
      <w:spacing w:before="240" w:after="60"/>
      <w:outlineLvl w:val="1"/>
    </w:pPr>
    <w:rPr>
      <w:rFonts w:ascii="Arial;Arial" w:hAnsi="Arial;Arial" w:eastAsia="Arial;Arial" w:cs="Arial;Arial"/>
      <w:b/>
      <w:bCs/>
      <w:i/>
      <w:iCs/>
      <w:sz w:val="28"/>
      <w:szCs w:val="28"/>
    </w:rPr>
  </w:style>
  <w:style w:type="paragraph" w:styleId="Ttulo3">
    <w:name w:val="Heading 3"/>
    <w:basedOn w:val="Normal"/>
    <w:next w:val="Normal"/>
    <w:qFormat/>
    <w:pPr>
      <w:keepNext w:val="true"/>
      <w:numPr>
        <w:ilvl w:val="2"/>
        <w:numId w:val="1"/>
      </w:numPr>
      <w:tabs>
        <w:tab w:val="clear" w:pos="708"/>
        <w:tab w:val="left" w:pos="0" w:leader="none"/>
      </w:tabs>
      <w:spacing w:before="240" w:after="60"/>
      <w:outlineLvl w:val="2"/>
    </w:pPr>
    <w:rPr>
      <w:rFonts w:ascii="Arial;Arial" w:hAnsi="Arial;Arial" w:eastAsia="Arial;Arial" w:cs="Arial;Arial"/>
      <w:b/>
      <w:bCs/>
      <w:sz w:val="26"/>
      <w:szCs w:val="26"/>
    </w:rPr>
  </w:style>
  <w:style w:type="paragraph" w:styleId="Ttulo4">
    <w:name w:val="Heading 4"/>
    <w:basedOn w:val="Normal"/>
    <w:next w:val="Normal"/>
    <w:qFormat/>
    <w:pPr>
      <w:keepNext w:val="true"/>
      <w:numPr>
        <w:ilvl w:val="3"/>
        <w:numId w:val="1"/>
      </w:numPr>
      <w:tabs>
        <w:tab w:val="clear" w:pos="708"/>
        <w:tab w:val="left" w:pos="0" w:leader="none"/>
      </w:tabs>
      <w:spacing w:before="240" w:after="60"/>
      <w:outlineLvl w:val="3"/>
    </w:pPr>
    <w:rPr>
      <w:b/>
      <w:bCs/>
      <w:sz w:val="28"/>
      <w:szCs w:val="28"/>
    </w:rPr>
  </w:style>
  <w:style w:type="paragraph" w:styleId="Ttulo6">
    <w:name w:val="Heading 6"/>
    <w:basedOn w:val="Normal"/>
    <w:next w:val="Normal"/>
    <w:qFormat/>
    <w:pPr>
      <w:keepNext w:val="true"/>
      <w:numPr>
        <w:ilvl w:val="5"/>
        <w:numId w:val="1"/>
      </w:numPr>
      <w:tabs>
        <w:tab w:val="clear" w:pos="708"/>
        <w:tab w:val="left" w:pos="0" w:leader="none"/>
      </w:tabs>
      <w:jc w:val="center"/>
      <w:outlineLvl w:val="5"/>
    </w:pPr>
    <w:rPr>
      <w:rFonts w:ascii="Arial;Arial" w:hAnsi="Arial;Arial" w:eastAsia="Arial;Arial" w:cs="Arial;Arial"/>
      <w:sz w:val="24"/>
    </w:rPr>
  </w:style>
  <w:style w:type="paragraph" w:styleId="Ttulo7">
    <w:name w:val="Heading 7"/>
    <w:basedOn w:val="Normal"/>
    <w:next w:val="Normal"/>
    <w:qFormat/>
    <w:pPr>
      <w:keepNext w:val="true"/>
      <w:numPr>
        <w:ilvl w:val="6"/>
        <w:numId w:val="1"/>
      </w:numPr>
      <w:tabs>
        <w:tab w:val="clear" w:pos="708"/>
        <w:tab w:val="left" w:pos="0" w:leader="none"/>
      </w:tabs>
      <w:outlineLvl w:val="6"/>
    </w:pPr>
    <w:rPr>
      <w:rFonts w:ascii="Arial;Arial" w:hAnsi="Arial;Arial" w:eastAsia="Arial;Arial" w:cs="Arial;Arial"/>
      <w:sz w:val="24"/>
    </w:rPr>
  </w:style>
  <w:style w:type="character" w:styleId="DefaultParagraphFont" w:default="1">
    <w:name w:val="Default Paragraph Font"/>
    <w:uiPriority w:val="1"/>
    <w:semiHidden/>
    <w:unhideWhenUsed/>
    <w:qFormat/>
    <w:rPr/>
  </w:style>
  <w:style w:type="character" w:styleId="WW8Num2z0" w:customStyle="1">
    <w:name w:val="WW8Num2z0"/>
    <w:qFormat/>
    <w:rPr/>
  </w:style>
  <w:style w:type="character" w:styleId="WW8Num3z0" w:customStyle="1">
    <w:name w:val="WW8Num3z0"/>
    <w:qFormat/>
    <w:rPr>
      <w:rFonts w:ascii="Symbol;Symbol" w:hAnsi="Symbol;Symbol" w:eastAsia="Symbol;Symbol" w:cs="Symbol;Symbol"/>
    </w:rPr>
  </w:style>
  <w:style w:type="character" w:styleId="WW8Num3z1" w:customStyle="1">
    <w:name w:val="WW8Num3z1"/>
    <w:qFormat/>
    <w:rPr>
      <w:rFonts w:ascii="Courier New" w:hAnsi="Courier New" w:eastAsia="Courier New" w:cs="Courier New"/>
    </w:rPr>
  </w:style>
  <w:style w:type="character" w:styleId="WW8Num3z2" w:customStyle="1">
    <w:name w:val="WW8Num3z2"/>
    <w:qFormat/>
    <w:rPr>
      <w:rFonts w:ascii="Wingdings;Wingdings" w:hAnsi="Wingdings;Wingdings" w:eastAsia="Wingdings;Wingdings" w:cs="Wingdings;Wingdings"/>
    </w:rPr>
  </w:style>
  <w:style w:type="character" w:styleId="WW8Num4z0" w:customStyle="1">
    <w:name w:val="WW8Num4z0"/>
    <w:qFormat/>
    <w:rPr>
      <w:rFonts w:ascii="Wingdings;Wingdings" w:hAnsi="Wingdings;Wingdings" w:eastAsia="Wingdings;Wingdings" w:cs="Wingdings;Wingdings"/>
    </w:rPr>
  </w:style>
  <w:style w:type="character" w:styleId="WW8Num5z0" w:customStyle="1">
    <w:name w:val="WW8Num5z0"/>
    <w:qFormat/>
    <w:rPr/>
  </w:style>
  <w:style w:type="character" w:styleId="WW8Num6z0" w:customStyle="1">
    <w:name w:val="WW8Num6z0"/>
    <w:qFormat/>
    <w:rPr>
      <w:rFonts w:ascii="Symbol;Symbol" w:hAnsi="Symbol;Symbol" w:eastAsia="Symbol;Symbol" w:cs="OpenSymbol;OpenSymbol"/>
    </w:rPr>
  </w:style>
  <w:style w:type="character" w:styleId="WW8Num6z1" w:customStyle="1">
    <w:name w:val="WW8Num6z1"/>
    <w:qFormat/>
    <w:rPr>
      <w:rFonts w:ascii="OpenSymbol;OpenSymbol" w:hAnsi="OpenSymbol;OpenSymbol" w:eastAsia="OpenSymbol;OpenSymbol" w:cs="OpenSymbol;OpenSymbol"/>
    </w:rPr>
  </w:style>
  <w:style w:type="character" w:styleId="Fontepargpadro3" w:customStyle="1">
    <w:name w:val="Fonte parág. padrão3"/>
    <w:qFormat/>
    <w:rPr/>
  </w:style>
  <w:style w:type="character" w:styleId="Nfase">
    <w:name w:val="Ênfase"/>
    <w:qFormat/>
    <w:rPr>
      <w:b/>
      <w:bCs/>
      <w:i w:val="false"/>
      <w:iCs w:val="false"/>
    </w:rPr>
  </w:style>
  <w:style w:type="character" w:styleId="LinkdaInternet" w:customStyle="1">
    <w:name w:val="Link da Internet"/>
    <w:rPr>
      <w:color w:val="0000FF"/>
      <w:u w:val="single"/>
    </w:rPr>
  </w:style>
  <w:style w:type="character" w:styleId="Fontepargpadro2" w:customStyle="1">
    <w:name w:val="Fonte parág. padrão2"/>
    <w:qFormat/>
    <w:rPr/>
  </w:style>
  <w:style w:type="character" w:styleId="Pagenumber">
    <w:name w:val="page number"/>
    <w:basedOn w:val="Fontepargpadro2"/>
    <w:qFormat/>
    <w:rPr/>
  </w:style>
  <w:style w:type="character" w:styleId="Fontepargpadro12" w:customStyle="1">
    <w:name w:val="Fonte parág. padrão12"/>
    <w:qFormat/>
    <w:rPr/>
  </w:style>
  <w:style w:type="character" w:styleId="WW8Num7z0" w:customStyle="1">
    <w:name w:val="WW8Num7z0"/>
    <w:qFormat/>
    <w:rPr>
      <w:rFonts w:ascii="Symbol;Symbol" w:hAnsi="Symbol;Symbol" w:eastAsia="Symbol;Symbol" w:cs="Symbol;Symbol"/>
    </w:rPr>
  </w:style>
  <w:style w:type="character" w:styleId="WW8Num7z1" w:customStyle="1">
    <w:name w:val="WW8Num7z1"/>
    <w:qFormat/>
    <w:rPr>
      <w:rFonts w:ascii="OpenSymbol;OpenSymbol" w:hAnsi="OpenSymbol;OpenSymbol" w:eastAsia="OpenSymbol;OpenSymbol" w:cs="Courier New"/>
    </w:rPr>
  </w:style>
  <w:style w:type="character" w:styleId="Fontepargpadro11" w:customStyle="1">
    <w:name w:val="Fonte parág. padrão11"/>
    <w:qFormat/>
    <w:rPr/>
  </w:style>
  <w:style w:type="character" w:styleId="WW8Num8z0" w:customStyle="1">
    <w:name w:val="WW8Num8z0"/>
    <w:qFormat/>
    <w:rPr/>
  </w:style>
  <w:style w:type="character" w:styleId="WW8Num9z0" w:customStyle="1">
    <w:name w:val="WW8Num9z0"/>
    <w:qFormat/>
    <w:rPr/>
  </w:style>
  <w:style w:type="character" w:styleId="WW8Num6z2" w:customStyle="1">
    <w:name w:val="WW8Num6z2"/>
    <w:qFormat/>
    <w:rPr>
      <w:rFonts w:ascii="Wingdings;Wingdings" w:hAnsi="Wingdings;Wingdings" w:eastAsia="Wingdings;Wingdings" w:cs="Wingdings;Wingdings"/>
    </w:rPr>
  </w:style>
  <w:style w:type="character" w:styleId="WW8Num10z0" w:customStyle="1">
    <w:name w:val="WW8Num10z0"/>
    <w:qFormat/>
    <w:rPr>
      <w:rFonts w:ascii="Book Antiqua" w:hAnsi="Book Antiqua" w:eastAsia="Book Antiqua" w:cs="Arial;Arial"/>
      <w:b/>
      <w:sz w:val="18"/>
    </w:rPr>
  </w:style>
  <w:style w:type="character" w:styleId="WW8Num11z0" w:customStyle="1">
    <w:name w:val="WW8Num11z0"/>
    <w:qFormat/>
    <w:rPr/>
  </w:style>
  <w:style w:type="character" w:styleId="WW8Num12z0" w:customStyle="1">
    <w:name w:val="WW8Num12z0"/>
    <w:qFormat/>
    <w:rPr/>
  </w:style>
  <w:style w:type="character" w:styleId="WW8Num13z0" w:customStyle="1">
    <w:name w:val="WW8Num13z0"/>
    <w:qFormat/>
    <w:rPr/>
  </w:style>
  <w:style w:type="character" w:styleId="WW8Num7z2" w:customStyle="1">
    <w:name w:val="WW8Num7z2"/>
    <w:qFormat/>
    <w:rPr>
      <w:rFonts w:ascii="Wingdings;Wingdings" w:hAnsi="Wingdings;Wingdings" w:eastAsia="Wingdings;Wingdings" w:cs="Wingdings;Wingdings"/>
    </w:rPr>
  </w:style>
  <w:style w:type="character" w:styleId="WW8Num11z2" w:customStyle="1">
    <w:name w:val="WW8Num11z2"/>
    <w:qFormat/>
    <w:rPr>
      <w:rFonts w:ascii="Book Antiqua" w:hAnsi="Book Antiqua" w:eastAsia="Book Antiqua" w:cs="Book Antiqua"/>
      <w:sz w:val="18"/>
      <w:szCs w:val="18"/>
    </w:rPr>
  </w:style>
  <w:style w:type="character" w:styleId="WW8Num13z3" w:customStyle="1">
    <w:name w:val="WW8Num13z3"/>
    <w:qFormat/>
    <w:rPr>
      <w:rFonts w:ascii="Book Antiqua" w:hAnsi="Book Antiqua" w:eastAsia="Book Antiqua" w:cs="Book Antiqua"/>
      <w:sz w:val="18"/>
      <w:szCs w:val="18"/>
    </w:rPr>
  </w:style>
  <w:style w:type="character" w:styleId="WW8Num14z0" w:customStyle="1">
    <w:name w:val="WW8Num14z0"/>
    <w:qFormat/>
    <w:rPr/>
  </w:style>
  <w:style w:type="character" w:styleId="WW8Num15z0" w:customStyle="1">
    <w:name w:val="WW8Num15z0"/>
    <w:qFormat/>
    <w:rPr/>
  </w:style>
  <w:style w:type="character" w:styleId="WW8Num16z0" w:customStyle="1">
    <w:name w:val="WW8Num16z0"/>
    <w:qFormat/>
    <w:rPr>
      <w:b w:val="false"/>
    </w:rPr>
  </w:style>
  <w:style w:type="character" w:styleId="WW8Num17z0" w:customStyle="1">
    <w:name w:val="WW8Num17z0"/>
    <w:qFormat/>
    <w:rPr/>
  </w:style>
  <w:style w:type="character" w:styleId="WW8Num18z0" w:customStyle="1">
    <w:name w:val="WW8Num18z0"/>
    <w:qFormat/>
    <w:rPr>
      <w:rFonts w:ascii="Book Antiqua" w:hAnsi="Book Antiqua" w:eastAsia="Book Antiqua" w:cs="Arial;Arial"/>
      <w:sz w:val="18"/>
    </w:rPr>
  </w:style>
  <w:style w:type="character" w:styleId="WW8Num21z0" w:customStyle="1">
    <w:name w:val="WW8Num21z0"/>
    <w:qFormat/>
    <w:rPr/>
  </w:style>
  <w:style w:type="character" w:styleId="WW8Num21z1" w:customStyle="1">
    <w:name w:val="WW8Num21z1"/>
    <w:qFormat/>
    <w:rPr>
      <w:b/>
      <w:caps w:val="false"/>
      <w:smallCaps w:val="false"/>
      <w:strike w:val="false"/>
      <w:dstrike w:val="false"/>
      <w:vanish w:val="false"/>
      <w:color w:val="000000"/>
      <w:position w:val="0"/>
      <w:sz w:val="22"/>
      <w:sz w:val="22"/>
      <w:szCs w:val="22"/>
      <w:vertAlign w:val="baseline"/>
    </w:rPr>
  </w:style>
  <w:style w:type="character" w:styleId="WW8Num21z2" w:customStyle="1">
    <w:name w:val="WW8Num21z2"/>
    <w:qFormat/>
    <w:rPr>
      <w:rFonts w:ascii="Arial;Arial" w:hAnsi="Arial;Arial" w:eastAsia="Arial;Arial" w:cs="Arial;Arial"/>
      <w:b/>
      <w:caps w:val="false"/>
      <w:smallCaps w:val="false"/>
      <w:vanish w:val="false"/>
      <w:color w:val="000000"/>
      <w:sz w:val="22"/>
      <w:szCs w:val="22"/>
    </w:rPr>
  </w:style>
  <w:style w:type="character" w:styleId="WW8Num21z3" w:customStyle="1">
    <w:name w:val="WW8Num21z3"/>
    <w:qFormat/>
    <w:rPr>
      <w:b/>
    </w:rPr>
  </w:style>
  <w:style w:type="character" w:styleId="WW8Num21z4" w:customStyle="1">
    <w:name w:val="WW8Num21z4"/>
    <w:qFormat/>
    <w:rPr>
      <w:b/>
      <w:i w:val="false"/>
      <w:caps/>
    </w:rPr>
  </w:style>
  <w:style w:type="character" w:styleId="WW8Num21z5" w:customStyle="1">
    <w:name w:val="WW8Num21z5"/>
    <w:qFormat/>
    <w:rPr>
      <w:b w:val="false"/>
      <w:i/>
      <w:caps/>
    </w:rPr>
  </w:style>
  <w:style w:type="character" w:styleId="WW8Num21z6" w:customStyle="1">
    <w:name w:val="WW8Num21z6"/>
    <w:qFormat/>
    <w:rPr>
      <w:rFonts w:ascii="Arial;Arial" w:hAnsi="Arial;Arial" w:eastAsia="Arial;Arial" w:cs="Arial;Arial"/>
      <w:b w:val="false"/>
      <w:i/>
      <w:caps/>
      <w:sz w:val="20"/>
    </w:rPr>
  </w:style>
  <w:style w:type="character" w:styleId="WW8Num21z8" w:customStyle="1">
    <w:name w:val="WW8Num21z8"/>
    <w:qFormat/>
    <w:rPr>
      <w:b/>
      <w:color w:val="000000"/>
      <w:sz w:val="18"/>
      <w:szCs w:val="18"/>
    </w:rPr>
  </w:style>
  <w:style w:type="character" w:styleId="WW8Num22z0" w:customStyle="1">
    <w:name w:val="WW8Num22z0"/>
    <w:qFormat/>
    <w:rPr>
      <w:rFonts w:ascii="Book Antiqua" w:hAnsi="Book Antiqua" w:eastAsia="Book Antiqua" w:cs="Arial;Arial"/>
      <w:b/>
      <w:sz w:val="18"/>
    </w:rPr>
  </w:style>
  <w:style w:type="character" w:styleId="WW8Num24z0" w:customStyle="1">
    <w:name w:val="WW8Num24z0"/>
    <w:qFormat/>
    <w:rPr>
      <w:rFonts w:ascii="Book Antiqua" w:hAnsi="Book Antiqua" w:eastAsia="Book Antiqua" w:cs="Arial;Arial"/>
      <w:sz w:val="18"/>
    </w:rPr>
  </w:style>
  <w:style w:type="character" w:styleId="WW8Num25z0" w:customStyle="1">
    <w:name w:val="WW8Num25z0"/>
    <w:qFormat/>
    <w:rPr/>
  </w:style>
  <w:style w:type="character" w:styleId="WW8Num27z0" w:customStyle="1">
    <w:name w:val="WW8Num27z0"/>
    <w:qFormat/>
    <w:rPr/>
  </w:style>
  <w:style w:type="character" w:styleId="WW8Num28z0" w:customStyle="1">
    <w:name w:val="WW8Num28z0"/>
    <w:qFormat/>
    <w:rPr>
      <w:rFonts w:ascii="Century Gothic" w:hAnsi="Century Gothic" w:eastAsia="Times New Roman" w:cs="Arial;Arial"/>
    </w:rPr>
  </w:style>
  <w:style w:type="character" w:styleId="WW8Num30z0" w:customStyle="1">
    <w:name w:val="WW8Num30z0"/>
    <w:qFormat/>
    <w:rPr>
      <w:rFonts w:ascii="Symbol;Symbol" w:hAnsi="Symbol;Symbol" w:eastAsia="Symbol;Symbol" w:cs="Symbol;Symbol"/>
    </w:rPr>
  </w:style>
  <w:style w:type="character" w:styleId="WW8Num30z1" w:customStyle="1">
    <w:name w:val="WW8Num30z1"/>
    <w:qFormat/>
    <w:rPr>
      <w:rFonts w:ascii="Courier New" w:hAnsi="Courier New" w:eastAsia="Courier New" w:cs="Courier New"/>
    </w:rPr>
  </w:style>
  <w:style w:type="character" w:styleId="WW8Num30z2" w:customStyle="1">
    <w:name w:val="WW8Num30z2"/>
    <w:qFormat/>
    <w:rPr>
      <w:rFonts w:ascii="Wingdings;Wingdings" w:hAnsi="Wingdings;Wingdings" w:eastAsia="Wingdings;Wingdings" w:cs="Wingdings;Wingdings"/>
    </w:rPr>
  </w:style>
  <w:style w:type="character" w:styleId="WW8Num31z1" w:customStyle="1">
    <w:name w:val="WW8Num31z1"/>
    <w:qFormat/>
    <w:rPr/>
  </w:style>
  <w:style w:type="character" w:styleId="WW8Num32z0" w:customStyle="1">
    <w:name w:val="WW8Num32z0"/>
    <w:qFormat/>
    <w:rPr/>
  </w:style>
  <w:style w:type="character" w:styleId="WW8Num33z0" w:customStyle="1">
    <w:name w:val="WW8Num33z0"/>
    <w:qFormat/>
    <w:rPr/>
  </w:style>
  <w:style w:type="character" w:styleId="WW8Num34z0" w:customStyle="1">
    <w:name w:val="WW8Num34z0"/>
    <w:qFormat/>
    <w:rPr>
      <w:rFonts w:ascii="Wingdings;Wingdings" w:hAnsi="Wingdings;Wingdings" w:eastAsia="Wingdings;Wingdings" w:cs="Wingdings;Wingdings"/>
    </w:rPr>
  </w:style>
  <w:style w:type="character" w:styleId="WW8Num34z1" w:customStyle="1">
    <w:name w:val="WW8Num34z1"/>
    <w:qFormat/>
    <w:rPr>
      <w:rFonts w:ascii="Courier New" w:hAnsi="Courier New" w:eastAsia="Courier New" w:cs="Courier New"/>
    </w:rPr>
  </w:style>
  <w:style w:type="character" w:styleId="WW8Num34z3" w:customStyle="1">
    <w:name w:val="WW8Num34z3"/>
    <w:qFormat/>
    <w:rPr>
      <w:rFonts w:ascii="Symbol;Symbol" w:hAnsi="Symbol;Symbol" w:eastAsia="Symbol;Symbol" w:cs="Symbol;Symbol"/>
    </w:rPr>
  </w:style>
  <w:style w:type="character" w:styleId="WW8Num36z0" w:customStyle="1">
    <w:name w:val="WW8Num36z0"/>
    <w:qFormat/>
    <w:rPr/>
  </w:style>
  <w:style w:type="character" w:styleId="WW8Num37z0" w:customStyle="1">
    <w:name w:val="WW8Num37z0"/>
    <w:qFormat/>
    <w:rPr/>
  </w:style>
  <w:style w:type="character" w:styleId="WW8Num38z0" w:customStyle="1">
    <w:name w:val="WW8Num38z0"/>
    <w:qFormat/>
    <w:rPr/>
  </w:style>
  <w:style w:type="character" w:styleId="WW8Num39z0" w:customStyle="1">
    <w:name w:val="WW8Num39z0"/>
    <w:qFormat/>
    <w:rPr>
      <w:rFonts w:ascii="Book Antiqua" w:hAnsi="Book Antiqua" w:eastAsia="Book Antiqua" w:cs="Arial;Arial"/>
      <w:b/>
      <w:sz w:val="18"/>
    </w:rPr>
  </w:style>
  <w:style w:type="character" w:styleId="WW8Num42z0" w:customStyle="1">
    <w:name w:val="WW8Num42z0"/>
    <w:qFormat/>
    <w:rPr>
      <w:b w:val="false"/>
      <w:sz w:val="18"/>
      <w:szCs w:val="18"/>
    </w:rPr>
  </w:style>
  <w:style w:type="character" w:styleId="WW8Num43z0" w:customStyle="1">
    <w:name w:val="WW8Num43z0"/>
    <w:qFormat/>
    <w:rPr/>
  </w:style>
  <w:style w:type="character" w:styleId="WW8Num44z0" w:customStyle="1">
    <w:name w:val="WW8Num44z0"/>
    <w:qFormat/>
    <w:rPr/>
  </w:style>
  <w:style w:type="character" w:styleId="WW8Num45z0" w:customStyle="1">
    <w:name w:val="WW8Num45z0"/>
    <w:qFormat/>
    <w:rPr/>
  </w:style>
  <w:style w:type="character" w:styleId="WW8NumSt8z0" w:customStyle="1">
    <w:name w:val="WW8NumSt8z0"/>
    <w:qFormat/>
    <w:rPr>
      <w:b w:val="false"/>
    </w:rPr>
  </w:style>
  <w:style w:type="character" w:styleId="TtuloChar" w:customStyle="1">
    <w:name w:val="Título Char"/>
    <w:qFormat/>
    <w:rPr>
      <w:rFonts w:eastAsia="Times New Roman"/>
      <w:b/>
      <w:bCs/>
      <w:sz w:val="22"/>
    </w:rPr>
  </w:style>
  <w:style w:type="character" w:styleId="TextodebaloChar" w:customStyle="1">
    <w:name w:val="Texto de balão Char"/>
    <w:qFormat/>
    <w:rPr>
      <w:rFonts w:ascii="Tahoma;Tahoma" w:hAnsi="Tahoma;Tahoma" w:eastAsia="Times New Roman" w:cs="Tahoma;Tahoma"/>
      <w:sz w:val="16"/>
      <w:szCs w:val="16"/>
    </w:rPr>
  </w:style>
  <w:style w:type="character" w:styleId="CabealhoChar" w:customStyle="1">
    <w:name w:val="Cabeçalho Char"/>
    <w:qFormat/>
    <w:rPr>
      <w:rFonts w:eastAsia="Times New Roman"/>
    </w:rPr>
  </w:style>
  <w:style w:type="character" w:styleId="Corpodetexto2Char" w:customStyle="1">
    <w:name w:val="Corpo de texto 2 Char"/>
    <w:qFormat/>
    <w:rPr>
      <w:rFonts w:ascii="Arial;Arial" w:hAnsi="Arial;Arial" w:eastAsia="Times New Roman" w:cs="Arial;Arial"/>
      <w:sz w:val="24"/>
    </w:rPr>
  </w:style>
  <w:style w:type="character" w:styleId="RecuodecorpodetextoChar" w:customStyle="1">
    <w:name w:val="Recuo de corpo de texto Char"/>
    <w:qFormat/>
    <w:rPr>
      <w:rFonts w:eastAsia="Times New Roman"/>
      <w:sz w:val="24"/>
    </w:rPr>
  </w:style>
  <w:style w:type="character" w:styleId="CorpodetextoChar" w:customStyle="1">
    <w:name w:val="Corpo de texto Char"/>
    <w:qFormat/>
    <w:rPr>
      <w:rFonts w:ascii="Arial;Arial" w:hAnsi="Arial;Arial" w:eastAsia="Times New Roman" w:cs="Arial;Arial"/>
      <w:b/>
      <w:sz w:val="24"/>
    </w:rPr>
  </w:style>
  <w:style w:type="character" w:styleId="Manoel" w:customStyle="1">
    <w:name w:val="Manoel"/>
    <w:qFormat/>
    <w:rPr>
      <w:rFonts w:ascii="Arial;Arial" w:hAnsi="Arial;Arial" w:eastAsia="Arial;Arial" w:cs="Arial;Arial"/>
      <w:color w:val="7030A0"/>
      <w:sz w:val="20"/>
    </w:rPr>
  </w:style>
  <w:style w:type="character" w:styleId="WW8Num1z0" w:customStyle="1">
    <w:name w:val="WW8Num1z0"/>
    <w:qFormat/>
    <w:rPr/>
  </w:style>
  <w:style w:type="character" w:styleId="WW8Num4z1" w:customStyle="1">
    <w:name w:val="WW8Num4z1"/>
    <w:qFormat/>
    <w:rPr>
      <w:b/>
      <w:caps w:val="false"/>
      <w:smallCaps w:val="false"/>
      <w:strike w:val="false"/>
      <w:dstrike w:val="false"/>
      <w:vanish w:val="false"/>
      <w:color w:val="000000"/>
      <w:position w:val="0"/>
      <w:sz w:val="22"/>
      <w:sz w:val="22"/>
      <w:szCs w:val="22"/>
      <w:vertAlign w:val="baseline"/>
    </w:rPr>
  </w:style>
  <w:style w:type="character" w:styleId="WW8Num4z2" w:customStyle="1">
    <w:name w:val="WW8Num4z2"/>
    <w:qFormat/>
    <w:rPr>
      <w:rFonts w:ascii="Arial;Arial" w:hAnsi="Arial;Arial" w:eastAsia="Arial;Arial" w:cs="Arial;Arial"/>
      <w:b/>
      <w:caps w:val="false"/>
      <w:smallCaps w:val="false"/>
      <w:vanish w:val="false"/>
      <w:color w:val="000000"/>
      <w:sz w:val="22"/>
      <w:szCs w:val="22"/>
    </w:rPr>
  </w:style>
  <w:style w:type="character" w:styleId="WW8Num4z3" w:customStyle="1">
    <w:name w:val="WW8Num4z3"/>
    <w:qFormat/>
    <w:rPr>
      <w:b/>
    </w:rPr>
  </w:style>
  <w:style w:type="character" w:styleId="WW8Num4z4" w:customStyle="1">
    <w:name w:val="WW8Num4z4"/>
    <w:qFormat/>
    <w:rPr>
      <w:b/>
      <w:i w:val="false"/>
      <w:caps/>
    </w:rPr>
  </w:style>
  <w:style w:type="character" w:styleId="WW8Num4z5" w:customStyle="1">
    <w:name w:val="WW8Num4z5"/>
    <w:qFormat/>
    <w:rPr>
      <w:b w:val="false"/>
      <w:i/>
      <w:caps/>
    </w:rPr>
  </w:style>
  <w:style w:type="character" w:styleId="WW8Num4z6" w:customStyle="1">
    <w:name w:val="WW8Num4z6"/>
    <w:qFormat/>
    <w:rPr>
      <w:rFonts w:ascii="Arial;Arial" w:hAnsi="Arial;Arial" w:eastAsia="Arial;Arial" w:cs="Arial;Arial"/>
      <w:b w:val="false"/>
      <w:i/>
      <w:caps/>
      <w:sz w:val="20"/>
    </w:rPr>
  </w:style>
  <w:style w:type="character" w:styleId="WW8Num4z8" w:customStyle="1">
    <w:name w:val="WW8Num4z8"/>
    <w:qFormat/>
    <w:rPr>
      <w:b/>
      <w:color w:val="000000"/>
      <w:sz w:val="18"/>
      <w:szCs w:val="18"/>
    </w:rPr>
  </w:style>
  <w:style w:type="character" w:styleId="WW8Num11z1" w:customStyle="1">
    <w:name w:val="WW8Num11z1"/>
    <w:qFormat/>
    <w:rPr>
      <w:rFonts w:ascii="Courier New" w:hAnsi="Courier New" w:eastAsia="Courier New" w:cs="Courier New"/>
    </w:rPr>
  </w:style>
  <w:style w:type="character" w:styleId="WW8Num12z1" w:customStyle="1">
    <w:name w:val="WW8Num12z1"/>
    <w:qFormat/>
    <w:rPr/>
  </w:style>
  <w:style w:type="character" w:styleId="WW8Num15z1" w:customStyle="1">
    <w:name w:val="WW8Num15z1"/>
    <w:qFormat/>
    <w:rPr>
      <w:rFonts w:ascii="Courier New" w:hAnsi="Courier New" w:eastAsia="Courier New" w:cs="Courier New"/>
    </w:rPr>
  </w:style>
  <w:style w:type="character" w:styleId="WW8Num15z3" w:customStyle="1">
    <w:name w:val="WW8Num15z3"/>
    <w:qFormat/>
    <w:rPr>
      <w:rFonts w:ascii="Symbol;Symbol" w:hAnsi="Symbol;Symbol" w:eastAsia="Symbol;Symbol" w:cs="Symbol;Symbol"/>
    </w:rPr>
  </w:style>
  <w:style w:type="character" w:styleId="WW8Num19z0" w:customStyle="1">
    <w:name w:val="WW8Num19z0"/>
    <w:qFormat/>
    <w:rPr/>
  </w:style>
  <w:style w:type="character" w:styleId="WW8Num23z0" w:customStyle="1">
    <w:name w:val="WW8Num23z0"/>
    <w:qFormat/>
    <w:rPr/>
  </w:style>
  <w:style w:type="character" w:styleId="Fontepargpadro1" w:customStyle="1">
    <w:name w:val="Fonte parág. padrão1"/>
    <w:qFormat/>
    <w:rPr/>
  </w:style>
  <w:style w:type="character" w:styleId="Marcadores" w:customStyle="1">
    <w:name w:val="Marcadores"/>
    <w:qFormat/>
    <w:rPr>
      <w:rFonts w:ascii="OpenSymbol;OpenSymbol" w:hAnsi="OpenSymbol;OpenSymbol" w:eastAsia="OpenSymbol;OpenSymbol" w:cs="OpenSymbol;OpenSymbol"/>
    </w:rPr>
  </w:style>
  <w:style w:type="character" w:styleId="TextodebaloChar1" w:customStyle="1">
    <w:name w:val="Texto de balão Char1"/>
    <w:basedOn w:val="DefaultParagraphFont"/>
    <w:qFormat/>
    <w:rPr>
      <w:rFonts w:ascii="Segoe UI" w:hAnsi="Segoe UI" w:eastAsia="Segoe UI" w:cs="Mangal"/>
      <w:sz w:val="18"/>
      <w:szCs w:val="16"/>
    </w:rPr>
  </w:style>
  <w:style w:type="character" w:styleId="Linkdainternetvisitado" w:customStyle="1">
    <w:name w:val="Link da internet visitado"/>
    <w:basedOn w:val="DefaultParagraphFont"/>
    <w:rPr>
      <w:color w:val="954F72"/>
      <w:u w:val="single"/>
    </w:rPr>
  </w:style>
  <w:style w:type="character" w:styleId="WWCharLFO3LVL1" w:customStyle="1">
    <w:name w:val="WW_CharLFO3LVL1"/>
    <w:qFormat/>
    <w:rPr>
      <w:rFonts w:ascii="Symbol;Symbol" w:hAnsi="Symbol;Symbol" w:cs="Symbol;Symbol"/>
    </w:rPr>
  </w:style>
  <w:style w:type="character" w:styleId="WWCharLFO3LVL2" w:customStyle="1">
    <w:name w:val="WW_CharLFO3LVL2"/>
    <w:qFormat/>
    <w:rPr>
      <w:rFonts w:ascii="Courier New" w:hAnsi="Courier New" w:cs="Courier New"/>
    </w:rPr>
  </w:style>
  <w:style w:type="character" w:styleId="WWCharLFO3LVL3" w:customStyle="1">
    <w:name w:val="WW_CharLFO3LVL3"/>
    <w:qFormat/>
    <w:rPr>
      <w:rFonts w:ascii="Wingdings;Wingdings" w:hAnsi="Wingdings;Wingdings" w:cs="Wingdings;Wingdings"/>
    </w:rPr>
  </w:style>
  <w:style w:type="character" w:styleId="WWCharLFO3LVL4" w:customStyle="1">
    <w:name w:val="WW_CharLFO3LVL4"/>
    <w:qFormat/>
    <w:rPr>
      <w:rFonts w:ascii="Symbol;Symbol" w:hAnsi="Symbol;Symbol" w:cs="Symbol;Symbol"/>
    </w:rPr>
  </w:style>
  <w:style w:type="character" w:styleId="WWCharLFO3LVL5" w:customStyle="1">
    <w:name w:val="WW_CharLFO3LVL5"/>
    <w:qFormat/>
    <w:rPr>
      <w:rFonts w:ascii="Courier New" w:hAnsi="Courier New" w:cs="Courier New"/>
    </w:rPr>
  </w:style>
  <w:style w:type="character" w:styleId="WWCharLFO3LVL6" w:customStyle="1">
    <w:name w:val="WW_CharLFO3LVL6"/>
    <w:qFormat/>
    <w:rPr>
      <w:rFonts w:ascii="Wingdings;Wingdings" w:hAnsi="Wingdings;Wingdings" w:cs="Wingdings;Wingdings"/>
    </w:rPr>
  </w:style>
  <w:style w:type="character" w:styleId="WWCharLFO3LVL7" w:customStyle="1">
    <w:name w:val="WW_CharLFO3LVL7"/>
    <w:qFormat/>
    <w:rPr>
      <w:rFonts w:ascii="Symbol;Symbol" w:hAnsi="Symbol;Symbol" w:cs="Symbol;Symbol"/>
    </w:rPr>
  </w:style>
  <w:style w:type="character" w:styleId="WWCharLFO3LVL8" w:customStyle="1">
    <w:name w:val="WW_CharLFO3LVL8"/>
    <w:qFormat/>
    <w:rPr>
      <w:rFonts w:ascii="Courier New" w:hAnsi="Courier New" w:cs="Courier New"/>
    </w:rPr>
  </w:style>
  <w:style w:type="character" w:styleId="WWCharLFO3LVL9" w:customStyle="1">
    <w:name w:val="WW_CharLFO3LVL9"/>
    <w:qFormat/>
    <w:rPr>
      <w:rFonts w:ascii="Wingdings;Wingdings" w:hAnsi="Wingdings;Wingdings" w:cs="Wingdings;Wingdings"/>
    </w:rPr>
  </w:style>
  <w:style w:type="character" w:styleId="WWCharLFO4LVL1" w:customStyle="1">
    <w:name w:val="WW_CharLFO4LVL1"/>
    <w:qFormat/>
    <w:rPr>
      <w:rFonts w:ascii="Wingdings;Wingdings" w:hAnsi="Wingdings;Wingdings" w:cs="Wingdings;Wingdings"/>
    </w:rPr>
  </w:style>
  <w:style w:type="character" w:styleId="WWCharLFO6LVL1" w:customStyle="1">
    <w:name w:val="WW_CharLFO6LVL1"/>
    <w:qFormat/>
    <w:rPr>
      <w:rFonts w:ascii="Symbol;Symbol" w:hAnsi="Symbol;Symbol" w:cs="OpenSymbol;OpenSymbol"/>
    </w:rPr>
  </w:style>
  <w:style w:type="character" w:styleId="WWCharLFO6LVL2" w:customStyle="1">
    <w:name w:val="WW_CharLFO6LVL2"/>
    <w:qFormat/>
    <w:rPr>
      <w:rFonts w:ascii="OpenSymbol;OpenSymbol" w:hAnsi="OpenSymbol;OpenSymbol" w:cs="OpenSymbol;OpenSymbol"/>
    </w:rPr>
  </w:style>
  <w:style w:type="character" w:styleId="WWCharLFO6LVL3" w:customStyle="1">
    <w:name w:val="WW_CharLFO6LVL3"/>
    <w:qFormat/>
    <w:rPr>
      <w:rFonts w:ascii="OpenSymbol;OpenSymbol" w:hAnsi="OpenSymbol;OpenSymbol" w:cs="OpenSymbol;OpenSymbol"/>
    </w:rPr>
  </w:style>
  <w:style w:type="character" w:styleId="WWCharLFO6LVL4" w:customStyle="1">
    <w:name w:val="WW_CharLFO6LVL4"/>
    <w:qFormat/>
    <w:rPr>
      <w:rFonts w:ascii="Symbol;Symbol" w:hAnsi="Symbol;Symbol" w:cs="OpenSymbol;OpenSymbol"/>
    </w:rPr>
  </w:style>
  <w:style w:type="character" w:styleId="WWCharLFO6LVL5" w:customStyle="1">
    <w:name w:val="WW_CharLFO6LVL5"/>
    <w:qFormat/>
    <w:rPr>
      <w:rFonts w:ascii="OpenSymbol;OpenSymbol" w:hAnsi="OpenSymbol;OpenSymbol" w:cs="OpenSymbol;OpenSymbol"/>
    </w:rPr>
  </w:style>
  <w:style w:type="character" w:styleId="WWCharLFO6LVL6" w:customStyle="1">
    <w:name w:val="WW_CharLFO6LVL6"/>
    <w:qFormat/>
    <w:rPr>
      <w:rFonts w:ascii="OpenSymbol;OpenSymbol" w:hAnsi="OpenSymbol;OpenSymbol" w:cs="OpenSymbol;OpenSymbol"/>
    </w:rPr>
  </w:style>
  <w:style w:type="character" w:styleId="WWCharLFO6LVL7" w:customStyle="1">
    <w:name w:val="WW_CharLFO6LVL7"/>
    <w:qFormat/>
    <w:rPr>
      <w:rFonts w:ascii="Symbol;Symbol" w:hAnsi="Symbol;Symbol" w:cs="OpenSymbol;OpenSymbol"/>
    </w:rPr>
  </w:style>
  <w:style w:type="character" w:styleId="WWCharLFO6LVL8" w:customStyle="1">
    <w:name w:val="WW_CharLFO6LVL8"/>
    <w:qFormat/>
    <w:rPr>
      <w:rFonts w:ascii="OpenSymbol;OpenSymbol" w:hAnsi="OpenSymbol;OpenSymbol" w:cs="OpenSymbol;OpenSymbol"/>
    </w:rPr>
  </w:style>
  <w:style w:type="character" w:styleId="WWCharLFO6LVL9" w:customStyle="1">
    <w:name w:val="WW_CharLFO6LVL9"/>
    <w:qFormat/>
    <w:rPr>
      <w:rFonts w:ascii="OpenSymbol;OpenSymbol" w:hAnsi="OpenSymbol;OpenSymbol" w:cs="OpenSymbol;OpenSymbol"/>
    </w:rPr>
  </w:style>
  <w:style w:type="character" w:styleId="WWCharLFO7LVL1" w:customStyle="1">
    <w:name w:val="WW_CharLFO7LVL1"/>
    <w:qFormat/>
    <w:rPr>
      <w:rFonts w:ascii="Symbol" w:hAnsi="Symbol" w:eastAsia="Arial" w:cs="Arial"/>
    </w:rPr>
  </w:style>
  <w:style w:type="character" w:styleId="WWCharLFO7LVL2" w:customStyle="1">
    <w:name w:val="WW_CharLFO7LVL2"/>
    <w:qFormat/>
    <w:rPr>
      <w:rFonts w:ascii="Courier New" w:hAnsi="Courier New" w:cs="Courier New"/>
    </w:rPr>
  </w:style>
  <w:style w:type="character" w:styleId="WWCharLFO7LVL3" w:customStyle="1">
    <w:name w:val="WW_CharLFO7LVL3"/>
    <w:qFormat/>
    <w:rPr>
      <w:rFonts w:ascii="Wingdings" w:hAnsi="Wingdings"/>
    </w:rPr>
  </w:style>
  <w:style w:type="character" w:styleId="WWCharLFO7LVL4" w:customStyle="1">
    <w:name w:val="WW_CharLFO7LVL4"/>
    <w:qFormat/>
    <w:rPr>
      <w:rFonts w:ascii="Symbol" w:hAnsi="Symbol"/>
    </w:rPr>
  </w:style>
  <w:style w:type="character" w:styleId="WWCharLFO7LVL5" w:customStyle="1">
    <w:name w:val="WW_CharLFO7LVL5"/>
    <w:qFormat/>
    <w:rPr>
      <w:rFonts w:ascii="Courier New" w:hAnsi="Courier New" w:cs="Courier New"/>
    </w:rPr>
  </w:style>
  <w:style w:type="character" w:styleId="WWCharLFO7LVL6" w:customStyle="1">
    <w:name w:val="WW_CharLFO7LVL6"/>
    <w:qFormat/>
    <w:rPr>
      <w:rFonts w:ascii="Wingdings" w:hAnsi="Wingdings"/>
    </w:rPr>
  </w:style>
  <w:style w:type="character" w:styleId="WWCharLFO7LVL7" w:customStyle="1">
    <w:name w:val="WW_CharLFO7LVL7"/>
    <w:qFormat/>
    <w:rPr>
      <w:rFonts w:ascii="Symbol" w:hAnsi="Symbol"/>
    </w:rPr>
  </w:style>
  <w:style w:type="character" w:styleId="WWCharLFO7LVL8" w:customStyle="1">
    <w:name w:val="WW_CharLFO7LVL8"/>
    <w:qFormat/>
    <w:rPr>
      <w:rFonts w:ascii="Courier New" w:hAnsi="Courier New" w:cs="Courier New"/>
    </w:rPr>
  </w:style>
  <w:style w:type="character" w:styleId="WWCharLFO7LVL9" w:customStyle="1">
    <w:name w:val="WW_CharLFO7LVL9"/>
    <w:qFormat/>
    <w:rPr>
      <w:rFonts w:ascii="Wingdings" w:hAnsi="Wingdings"/>
    </w:rPr>
  </w:style>
  <w:style w:type="character" w:styleId="WWCharLFO13LVL2" w:customStyle="1">
    <w:name w:val="WW_CharLFO13LVL2"/>
    <w:qFormat/>
    <w:rPr>
      <w:rFonts w:ascii="Courier New" w:hAnsi="Courier New" w:cs="Courier New"/>
    </w:rPr>
  </w:style>
  <w:style w:type="character" w:styleId="WWCharLFO13LVL3" w:customStyle="1">
    <w:name w:val="WW_CharLFO13LVL3"/>
    <w:qFormat/>
    <w:rPr>
      <w:rFonts w:ascii="Wingdings" w:hAnsi="Wingdings"/>
    </w:rPr>
  </w:style>
  <w:style w:type="character" w:styleId="WWCharLFO13LVL4" w:customStyle="1">
    <w:name w:val="WW_CharLFO13LVL4"/>
    <w:qFormat/>
    <w:rPr>
      <w:rFonts w:ascii="Symbol" w:hAnsi="Symbol"/>
    </w:rPr>
  </w:style>
  <w:style w:type="character" w:styleId="WWCharLFO13LVL5" w:customStyle="1">
    <w:name w:val="WW_CharLFO13LVL5"/>
    <w:qFormat/>
    <w:rPr>
      <w:rFonts w:ascii="Courier New" w:hAnsi="Courier New" w:cs="Courier New"/>
    </w:rPr>
  </w:style>
  <w:style w:type="character" w:styleId="WWCharLFO13LVL6" w:customStyle="1">
    <w:name w:val="WW_CharLFO13LVL6"/>
    <w:qFormat/>
    <w:rPr>
      <w:rFonts w:ascii="Wingdings" w:hAnsi="Wingdings"/>
    </w:rPr>
  </w:style>
  <w:style w:type="character" w:styleId="WWCharLFO13LVL7" w:customStyle="1">
    <w:name w:val="WW_CharLFO13LVL7"/>
    <w:qFormat/>
    <w:rPr>
      <w:rFonts w:ascii="Symbol" w:hAnsi="Symbol"/>
    </w:rPr>
  </w:style>
  <w:style w:type="character" w:styleId="WWCharLFO13LVL8" w:customStyle="1">
    <w:name w:val="WW_CharLFO13LVL8"/>
    <w:qFormat/>
    <w:rPr>
      <w:rFonts w:ascii="Courier New" w:hAnsi="Courier New" w:cs="Courier New"/>
    </w:rPr>
  </w:style>
  <w:style w:type="character" w:styleId="WWCharLFO13LVL9" w:customStyle="1">
    <w:name w:val="WW_CharLFO13LVL9"/>
    <w:qFormat/>
    <w:rPr>
      <w:rFonts w:ascii="Wingdings" w:hAnsi="Wingdings"/>
    </w:rPr>
  </w:style>
  <w:style w:type="character" w:styleId="Hyperlink1" w:customStyle="1">
    <w:name w:val="Hyperlink1"/>
    <w:qFormat/>
    <w:rPr>
      <w:color w:val="0000FF"/>
      <w:u w:val="single"/>
    </w:rPr>
  </w:style>
  <w:style w:type="character" w:styleId="Nfaseforte" w:customStyle="1">
    <w:name w:val="Ênfase forte"/>
    <w:qFormat/>
    <w:rPr>
      <w:b/>
      <w:bCs/>
    </w:rPr>
  </w:style>
  <w:style w:type="character" w:styleId="Smbolosdenumerao" w:customStyle="1">
    <w:name w:val="Símbolos de numeração"/>
    <w:qFormat/>
    <w:rPr>
      <w:rFonts w:ascii="Book Antiqua" w:hAnsi="Book Antiqua" w:eastAsia="Times New Roman" w:cs="Times New Roman"/>
      <w:b w:val="false"/>
      <w:bCs w:val="false"/>
      <w:color w:val="000000"/>
      <w:sz w:val="18"/>
      <w:szCs w:val="18"/>
      <w:shd w:fill="FFFFFF" w:val="clear"/>
      <w:lang w:bidi="ar-SA"/>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jc w:val="both"/>
    </w:pPr>
    <w:rPr>
      <w:rFonts w:ascii="Arial;Arial" w:hAnsi="Arial;Arial" w:eastAsia="Arial;Arial" w:cs="Arial;Arial"/>
      <w:b/>
      <w:sz w:val="24"/>
    </w:rPr>
  </w:style>
  <w:style w:type="paragraph" w:styleId="Lista">
    <w:name w:val="List"/>
    <w:basedOn w:val="Corpodotexto"/>
    <w:pPr/>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Arial;Arial"/>
      <w:i/>
      <w:iCs/>
      <w:sz w:val="24"/>
      <w:szCs w:val="24"/>
    </w:rPr>
  </w:style>
  <w:style w:type="paragraph" w:styleId="LONormal" w:customStyle="1">
    <w:name w:val="LO-Normal"/>
    <w:qFormat/>
    <w:pPr>
      <w:widowControl w:val="false"/>
      <w:suppressAutoHyphens w:val="true"/>
      <w:bidi w:val="0"/>
      <w:spacing w:before="0" w:after="0"/>
      <w:jc w:val="left"/>
    </w:pPr>
    <w:rPr>
      <w:rFonts w:ascii="Liberation Serif" w:hAnsi="Liberation Serif" w:eastAsia="NSimSun" w:cs="Lucida Sans"/>
      <w:color w:val="auto"/>
      <w:kern w:val="2"/>
      <w:sz w:val="24"/>
      <w:szCs w:val="24"/>
      <w:lang w:val="pt-BR" w:eastAsia="zh-CN" w:bidi="hi-IN"/>
    </w:rPr>
  </w:style>
  <w:style w:type="paragraph" w:styleId="Ttulo31" w:customStyle="1">
    <w:name w:val="Título3"/>
    <w:basedOn w:val="Normal"/>
    <w:next w:val="Corpodotexto"/>
    <w:qFormat/>
    <w:pPr>
      <w:keepNext w:val="true"/>
      <w:spacing w:before="240" w:after="120"/>
    </w:pPr>
    <w:rPr>
      <w:rFonts w:ascii="Liberation Sans" w:hAnsi="Liberation Sans" w:eastAsia="Microsoft YaHei" w:cs="Lucida Sans"/>
      <w:sz w:val="28"/>
      <w:szCs w:val="28"/>
    </w:rPr>
  </w:style>
  <w:style w:type="paragraph" w:styleId="CabealhoeRodap" w:customStyle="1">
    <w:name w:val="Cabeçalho e Rodapé"/>
    <w:basedOn w:val="Normal"/>
    <w:qFormat/>
    <w:pPr>
      <w:suppressLineNumbers/>
      <w:tabs>
        <w:tab w:val="clear" w:pos="708"/>
        <w:tab w:val="center" w:pos="4819" w:leader="none"/>
        <w:tab w:val="right" w:pos="9638" w:leader="none"/>
      </w:tabs>
    </w:pPr>
    <w:rPr/>
  </w:style>
  <w:style w:type="paragraph" w:styleId="Cabealho">
    <w:name w:val="Header"/>
    <w:basedOn w:val="Normal"/>
    <w:pPr>
      <w:tabs>
        <w:tab w:val="clear" w:pos="708"/>
        <w:tab w:val="center" w:pos="4252" w:leader="none"/>
        <w:tab w:val="right" w:pos="8504" w:leader="none"/>
      </w:tabs>
    </w:pPr>
    <w:rPr/>
  </w:style>
  <w:style w:type="paragraph" w:styleId="Rodap">
    <w:name w:val="Footer"/>
    <w:basedOn w:val="Normal"/>
    <w:pPr>
      <w:tabs>
        <w:tab w:val="clear" w:pos="708"/>
        <w:tab w:val="center" w:pos="4252" w:leader="none"/>
        <w:tab w:val="right" w:pos="8504" w:leader="none"/>
      </w:tabs>
    </w:pPr>
    <w:rPr/>
  </w:style>
  <w:style w:type="paragraph" w:styleId="Corpodotextorecuado">
    <w:name w:val="Body Text Indent"/>
    <w:basedOn w:val="Normal"/>
    <w:pPr>
      <w:ind w:firstLine="1416"/>
      <w:jc w:val="both"/>
    </w:pPr>
    <w:rPr>
      <w:sz w:val="24"/>
    </w:rPr>
  </w:style>
  <w:style w:type="paragraph" w:styleId="Ttulo12" w:customStyle="1">
    <w:name w:val="Título12"/>
    <w:basedOn w:val="Normal"/>
    <w:next w:val="Corpodotexto"/>
    <w:qFormat/>
    <w:pPr>
      <w:keepNext w:val="true"/>
      <w:spacing w:before="240" w:after="120"/>
    </w:pPr>
    <w:rPr>
      <w:rFonts w:ascii="Liberation Sans" w:hAnsi="Liberation Sans" w:eastAsia="Microsoft YaHei" w:cs="Lucida Sans"/>
      <w:sz w:val="28"/>
      <w:szCs w:val="28"/>
    </w:rPr>
  </w:style>
  <w:style w:type="paragraph" w:styleId="Ttulo11" w:customStyle="1">
    <w:name w:val="Título11"/>
    <w:basedOn w:val="Normal"/>
    <w:next w:val="Corpodotexto"/>
    <w:qFormat/>
    <w:pPr>
      <w:keepNext w:val="true"/>
      <w:spacing w:before="240" w:after="120"/>
    </w:pPr>
    <w:rPr>
      <w:rFonts w:ascii="Liberation Sans" w:hAnsi="Liberation Sans" w:eastAsia="Microsoft YaHei" w:cs="Lucida Sans"/>
      <w:sz w:val="28"/>
      <w:szCs w:val="28"/>
    </w:rPr>
  </w:style>
  <w:style w:type="paragraph" w:styleId="Ttulo21" w:customStyle="1">
    <w:name w:val="Título2"/>
    <w:basedOn w:val="Normal"/>
    <w:next w:val="Corpodotexto"/>
    <w:qFormat/>
    <w:pPr>
      <w:jc w:val="center"/>
    </w:pPr>
    <w:rPr>
      <w:b/>
      <w:bCs/>
      <w:sz w:val="22"/>
    </w:rPr>
  </w:style>
  <w:style w:type="paragraph" w:styleId="Recuodecorpodetexto32" w:customStyle="1">
    <w:name w:val="Recuo de corpo de texto 32"/>
    <w:basedOn w:val="Normal"/>
    <w:qFormat/>
    <w:pPr>
      <w:ind w:firstLine="284"/>
      <w:jc w:val="both"/>
    </w:pPr>
    <w:rPr>
      <w:sz w:val="24"/>
    </w:rPr>
  </w:style>
  <w:style w:type="paragraph" w:styleId="Corpodetexto22" w:customStyle="1">
    <w:name w:val="Corpo de texto 22"/>
    <w:basedOn w:val="Normal"/>
    <w:qFormat/>
    <w:pPr>
      <w:jc w:val="both"/>
    </w:pPr>
    <w:rPr>
      <w:rFonts w:ascii="Arial;Arial" w:hAnsi="Arial;Arial" w:eastAsia="Arial;Arial" w:cs="Arial;Arial"/>
      <w:sz w:val="24"/>
    </w:rPr>
  </w:style>
  <w:style w:type="paragraph" w:styleId="FR4" w:customStyle="1">
    <w:name w:val="FR4"/>
    <w:qFormat/>
    <w:pPr>
      <w:widowControl w:val="false"/>
      <w:suppressAutoHyphens w:val="true"/>
      <w:bidi w:val="0"/>
      <w:spacing w:before="120" w:after="0"/>
      <w:jc w:val="left"/>
    </w:pPr>
    <w:rPr>
      <w:rFonts w:ascii="Arial;Arial" w:hAnsi="Arial;Arial" w:eastAsia="Times New Roman" w:cs="Arial;Arial"/>
      <w:color w:val="000000"/>
      <w:kern w:val="2"/>
      <w:sz w:val="24"/>
      <w:szCs w:val="20"/>
      <w:lang w:val="pt-PT" w:bidi="ar-SA" w:eastAsia="zh-CN"/>
    </w:rPr>
  </w:style>
  <w:style w:type="paragraph" w:styleId="P0" w:customStyle="1">
    <w:name w:val="p0"/>
    <w:basedOn w:val="Normal"/>
    <w:qFormat/>
    <w:pPr>
      <w:widowControl w:val="false"/>
      <w:tabs>
        <w:tab w:val="clear" w:pos="708"/>
        <w:tab w:val="left" w:pos="720" w:leader="none"/>
      </w:tabs>
      <w:spacing w:lineRule="atLeast" w:line="240"/>
      <w:jc w:val="both"/>
    </w:pPr>
    <w:rPr>
      <w:sz w:val="24"/>
    </w:rPr>
  </w:style>
  <w:style w:type="paragraph" w:styleId="P33" w:customStyle="1">
    <w:name w:val="p33"/>
    <w:basedOn w:val="Normal"/>
    <w:qFormat/>
    <w:pPr>
      <w:widowControl w:val="false"/>
      <w:spacing w:lineRule="atLeast" w:line="260"/>
    </w:pPr>
    <w:rPr>
      <w:sz w:val="24"/>
    </w:rPr>
  </w:style>
  <w:style w:type="paragraph" w:styleId="P6" w:customStyle="1">
    <w:name w:val="p6"/>
    <w:basedOn w:val="Normal"/>
    <w:qFormat/>
    <w:pPr>
      <w:widowControl w:val="false"/>
      <w:tabs>
        <w:tab w:val="clear" w:pos="708"/>
        <w:tab w:val="left" w:pos="7360" w:leader="none"/>
      </w:tabs>
      <w:spacing w:lineRule="atLeast" w:line="240"/>
      <w:ind w:left="2960" w:hanging="0"/>
      <w:jc w:val="both"/>
    </w:pPr>
    <w:rPr>
      <w:sz w:val="24"/>
    </w:rPr>
  </w:style>
  <w:style w:type="paragraph" w:styleId="Corpodetexto32" w:customStyle="1">
    <w:name w:val="Corpo de texto 32"/>
    <w:basedOn w:val="Normal"/>
    <w:qFormat/>
    <w:pPr>
      <w:spacing w:before="0" w:after="120"/>
    </w:pPr>
    <w:rPr>
      <w:sz w:val="16"/>
      <w:szCs w:val="16"/>
    </w:rPr>
  </w:style>
  <w:style w:type="paragraph" w:styleId="A010177" w:customStyle="1">
    <w:name w:val="_A010177"/>
    <w:basedOn w:val="Normal"/>
    <w:qFormat/>
    <w:pPr>
      <w:jc w:val="both"/>
    </w:pPr>
    <w:rPr>
      <w:sz w:val="24"/>
    </w:rPr>
  </w:style>
  <w:style w:type="paragraph" w:styleId="Default" w:customStyle="1">
    <w:name w:val="Default"/>
    <w:qFormat/>
    <w:pPr>
      <w:widowControl/>
      <w:suppressAutoHyphens w:val="true"/>
      <w:bidi w:val="0"/>
      <w:spacing w:before="0" w:after="0"/>
      <w:jc w:val="left"/>
    </w:pPr>
    <w:rPr>
      <w:rFonts w:ascii="Garamond" w:hAnsi="Garamond" w:eastAsia="Times New Roman" w:cs="Garamond"/>
      <w:color w:val="000000"/>
      <w:kern w:val="2"/>
      <w:sz w:val="24"/>
      <w:szCs w:val="24"/>
      <w:lang w:bidi="ar-SA" w:val="pt-BR" w:eastAsia="zh-CN"/>
    </w:rPr>
  </w:style>
  <w:style w:type="paragraph" w:styleId="BodyText2">
    <w:name w:val="Body Text 2"/>
    <w:basedOn w:val="Normal"/>
    <w:qFormat/>
    <w:pPr>
      <w:jc w:val="both"/>
    </w:pPr>
    <w:rPr>
      <w:sz w:val="24"/>
      <w:lang w:eastAsia="ja-JP"/>
    </w:rPr>
  </w:style>
  <w:style w:type="paragraph" w:styleId="ListParagraph">
    <w:name w:val="List Paragraph"/>
    <w:basedOn w:val="Normal"/>
    <w:qFormat/>
    <w:pPr>
      <w:ind w:left="720" w:hanging="0"/>
    </w:pPr>
    <w:rPr>
      <w:sz w:val="24"/>
      <w:szCs w:val="24"/>
    </w:rPr>
  </w:style>
  <w:style w:type="paragraph" w:styleId="Estilo2" w:customStyle="1">
    <w:name w:val="Estilo2"/>
    <w:basedOn w:val="Normal"/>
    <w:qFormat/>
    <w:pPr>
      <w:ind w:left="2694" w:hanging="284"/>
      <w:jc w:val="both"/>
    </w:pPr>
    <w:rPr>
      <w:sz w:val="24"/>
    </w:rPr>
  </w:style>
  <w:style w:type="paragraph" w:styleId="Textodebalo1" w:customStyle="1">
    <w:name w:val="Texto de balão1"/>
    <w:basedOn w:val="Normal"/>
    <w:qFormat/>
    <w:pPr/>
    <w:rPr>
      <w:rFonts w:ascii="Tahoma;Tahoma" w:hAnsi="Tahoma;Tahoma" w:eastAsia="Tahoma;Tahoma" w:cs="Tahoma;Tahoma"/>
      <w:sz w:val="16"/>
      <w:szCs w:val="16"/>
    </w:rPr>
  </w:style>
  <w:style w:type="paragraph" w:styleId="Alnea" w:customStyle="1">
    <w:name w:val="alínea"/>
    <w:basedOn w:val="Normal"/>
    <w:qFormat/>
    <w:pPr>
      <w:tabs>
        <w:tab w:val="clear" w:pos="708"/>
        <w:tab w:val="left" w:pos="2268" w:leader="none"/>
      </w:tabs>
      <w:spacing w:lineRule="auto" w:line="360" w:before="120" w:after="0"/>
      <w:ind w:left="1134" w:hanging="567"/>
      <w:jc w:val="both"/>
    </w:pPr>
    <w:rPr>
      <w:rFonts w:ascii="Arial;Arial" w:hAnsi="Arial;Arial" w:eastAsia="Arial;Arial" w:cs="Arial;Arial"/>
    </w:rPr>
  </w:style>
  <w:style w:type="paragraph" w:styleId="11Numerao1" w:customStyle="1">
    <w:name w:val="1.1 - Numeração 1"/>
    <w:basedOn w:val="Normal"/>
    <w:qFormat/>
    <w:pPr>
      <w:tabs>
        <w:tab w:val="clear" w:pos="708"/>
        <w:tab w:val="left" w:pos="0" w:leader="none"/>
      </w:tabs>
      <w:spacing w:before="280" w:after="280"/>
      <w:jc w:val="both"/>
    </w:pPr>
    <w:rPr>
      <w:rFonts w:ascii="Arial;Arial" w:hAnsi="Arial;Arial" w:eastAsia="Arial;Arial" w:cs="Arial;Arial"/>
      <w:bCs/>
      <w:sz w:val="22"/>
      <w:szCs w:val="22"/>
      <w:shd w:fill="FFFFFF" w:val="clear"/>
    </w:rPr>
  </w:style>
  <w:style w:type="paragraph" w:styleId="111Numerao2" w:customStyle="1">
    <w:name w:val="1.1.1 - Numeração 2"/>
    <w:basedOn w:val="Normal"/>
    <w:qFormat/>
    <w:pPr>
      <w:spacing w:before="280" w:after="280"/>
      <w:jc w:val="both"/>
    </w:pPr>
    <w:rPr>
      <w:rFonts w:ascii="Arial;Arial" w:hAnsi="Arial;Arial" w:eastAsia="Arial;Arial" w:cs="Arial;Arial"/>
      <w:b/>
      <w:bCs/>
      <w:iCs/>
      <w:sz w:val="22"/>
      <w:szCs w:val="22"/>
      <w:shd w:fill="FFFFFF" w:val="clear"/>
    </w:rPr>
  </w:style>
  <w:style w:type="paragraph" w:styleId="Corpodetexto21" w:customStyle="1">
    <w:name w:val="Corpo de texto 21"/>
    <w:basedOn w:val="Normal"/>
    <w:qFormat/>
    <w:pPr>
      <w:jc w:val="both"/>
    </w:pPr>
    <w:rPr>
      <w:rFonts w:ascii="Arial;Arial" w:hAnsi="Arial;Arial" w:eastAsia="Arial;Arial" w:cs="Arial;Arial"/>
      <w:sz w:val="24"/>
    </w:rPr>
  </w:style>
  <w:style w:type="paragraph" w:styleId="Ttulo13" w:customStyle="1">
    <w:name w:val="Título1"/>
    <w:basedOn w:val="Normal"/>
    <w:next w:val="Corpodotexto"/>
    <w:qFormat/>
    <w:pPr>
      <w:jc w:val="center"/>
    </w:pPr>
    <w:rPr>
      <w:b/>
      <w:bCs/>
      <w:sz w:val="22"/>
    </w:rPr>
  </w:style>
  <w:style w:type="paragraph" w:styleId="Recuodecorpodetexto31" w:customStyle="1">
    <w:name w:val="Recuo de corpo de texto 31"/>
    <w:basedOn w:val="Normal"/>
    <w:qFormat/>
    <w:pPr>
      <w:ind w:firstLine="284"/>
      <w:jc w:val="both"/>
    </w:pPr>
    <w:rPr>
      <w:sz w:val="24"/>
    </w:rPr>
  </w:style>
  <w:style w:type="paragraph" w:styleId="Corpodetexto31" w:customStyle="1">
    <w:name w:val="Corpo de texto 31"/>
    <w:basedOn w:val="Normal"/>
    <w:qFormat/>
    <w:pPr>
      <w:spacing w:before="0" w:after="120"/>
    </w:pPr>
    <w:rPr>
      <w:sz w:val="16"/>
      <w:szCs w:val="16"/>
    </w:rPr>
  </w:style>
  <w:style w:type="paragraph" w:styleId="Contedodatabela" w:customStyle="1">
    <w:name w:val="Conteúdo da tabela"/>
    <w:basedOn w:val="Normal"/>
    <w:qFormat/>
    <w:pPr>
      <w:widowControl w:val="false"/>
      <w:suppressLineNumbers/>
    </w:pPr>
    <w:rPr/>
  </w:style>
  <w:style w:type="paragraph" w:styleId="Ttulodetabela" w:customStyle="1">
    <w:name w:val="Título de tabela"/>
    <w:basedOn w:val="Contedodatabela"/>
    <w:qFormat/>
    <w:pPr>
      <w:jc w:val="center"/>
    </w:pPr>
    <w:rPr>
      <w:b/>
      <w:bCs/>
    </w:rPr>
  </w:style>
  <w:style w:type="paragraph" w:styleId="Contedodoquadro" w:customStyle="1">
    <w:name w:val="Conteúdo do quadro"/>
    <w:basedOn w:val="Normal"/>
    <w:qFormat/>
    <w:pPr/>
    <w:rPr/>
  </w:style>
  <w:style w:type="paragraph" w:styleId="Tabelanormal1" w:customStyle="1">
    <w:name w:val="Tabela normal1"/>
    <w:qFormat/>
    <w:pPr>
      <w:widowControl/>
      <w:suppressAutoHyphens w:val="true"/>
      <w:bidi w:val="0"/>
      <w:spacing w:before="0" w:after="0"/>
      <w:jc w:val="left"/>
    </w:pPr>
    <w:rPr>
      <w:rFonts w:ascii="Times New Roman" w:hAnsi="Times New Roman" w:eastAsia="Cambria Math" w:cs="Times New Roman"/>
      <w:color w:val="000000"/>
      <w:kern w:val="2"/>
      <w:sz w:val="20"/>
      <w:szCs w:val="20"/>
      <w:lang w:bidi="ar-SA" w:val="pt-BR" w:eastAsia="zh-CN"/>
    </w:rPr>
  </w:style>
  <w:style w:type="paragraph" w:styleId="Standard" w:customStyle="1">
    <w:name w:val="Standard"/>
    <w:qFormat/>
    <w:pPr>
      <w:widowControl w:val="false"/>
      <w:suppressAutoHyphens w:val="true"/>
      <w:bidi w:val="0"/>
      <w:spacing w:before="0" w:after="0"/>
      <w:jc w:val="left"/>
    </w:pPr>
    <w:rPr>
      <w:rFonts w:eastAsia="Segoe UI" w:cs="Tahoma;Tahoma" w:ascii="Liberation Serif" w:hAnsi="Liberation Serif"/>
      <w:color w:val="000000"/>
      <w:kern w:val="2"/>
      <w:sz w:val="24"/>
      <w:szCs w:val="24"/>
      <w:lang w:val="pt-BR" w:eastAsia="zh-CN" w:bidi="hi-IN"/>
    </w:rPr>
  </w:style>
  <w:style w:type="paragraph" w:styleId="Corpodetexto23" w:customStyle="1">
    <w:name w:val="Corpo de texto 23"/>
    <w:basedOn w:val="Normal"/>
    <w:qFormat/>
    <w:pPr>
      <w:jc w:val="both"/>
    </w:pPr>
    <w:rPr>
      <w:rFonts w:ascii="Arial;Arial" w:hAnsi="Arial;Arial" w:eastAsia="Arial;Arial" w:cs="Arial;Arial"/>
      <w:sz w:val="24"/>
    </w:rPr>
  </w:style>
  <w:style w:type="paragraph" w:styleId="BalloonText">
    <w:name w:val="Balloon Text"/>
    <w:basedOn w:val="LONormal"/>
    <w:qFormat/>
    <w:pPr/>
    <w:rPr>
      <w:rFonts w:ascii="Segoe UI" w:hAnsi="Segoe UI" w:eastAsia="Segoe UI" w:cs="Mangal"/>
      <w:sz w:val="18"/>
      <w:szCs w:val="16"/>
    </w:rPr>
  </w:style>
  <w:style w:type="paragraph" w:styleId="NoSpacing">
    <w:name w:val="No Spacing"/>
    <w:qFormat/>
    <w:pPr>
      <w:widowControl w:val="false"/>
      <w:suppressAutoHyphens w:val="true"/>
      <w:bidi w:val="0"/>
      <w:spacing w:before="0" w:after="0"/>
      <w:jc w:val="left"/>
    </w:pPr>
    <w:rPr>
      <w:rFonts w:ascii="Liberation Serif" w:hAnsi="Liberation Serif" w:eastAsia="NSimSun" w:cs="Lucida Sans"/>
      <w:color w:val="auto"/>
      <w:kern w:val="2"/>
      <w:sz w:val="24"/>
      <w:szCs w:val="24"/>
      <w:lang w:val="pt-PT" w:eastAsia="en-US" w:bidi="hi-IN"/>
    </w:rPr>
  </w:style>
  <w:style w:type="paragraph" w:styleId="NormalWeb">
    <w:name w:val="Normal (Web)"/>
    <w:basedOn w:val="Normal"/>
    <w:uiPriority w:val="99"/>
    <w:unhideWhenUsed/>
    <w:qFormat/>
    <w:rsid w:val="00ec6574"/>
    <w:pPr>
      <w:suppressAutoHyphens w:val="false"/>
      <w:spacing w:beforeAutospacing="1" w:afterAutospacing="1"/>
      <w:jc w:val="both"/>
    </w:pPr>
    <w:rPr>
      <w:kern w:val="0"/>
      <w:sz w:val="24"/>
      <w:szCs w:val="24"/>
      <w:lang w:eastAsia="pt-BR"/>
    </w:rPr>
  </w:style>
  <w:style w:type="paragraph" w:styleId="Western" w:customStyle="1">
    <w:name w:val="western"/>
    <w:basedOn w:val="Normal"/>
    <w:qFormat/>
    <w:rsid w:val="005a5e75"/>
    <w:pPr>
      <w:suppressAutoHyphens w:val="false"/>
      <w:spacing w:beforeAutospacing="1" w:afterAutospacing="1"/>
      <w:jc w:val="both"/>
    </w:pPr>
    <w:rPr>
      <w:rFonts w:ascii="Arial" w:hAnsi="Arial" w:cs="Arial"/>
      <w:b/>
      <w:bCs/>
      <w:kern w:val="0"/>
      <w:sz w:val="24"/>
      <w:szCs w:val="24"/>
      <w:lang w:eastAsia="pt-B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ll.org.br/" TargetMode="External"/><Relationship Id="rId3" Type="http://schemas.openxmlformats.org/officeDocument/2006/relationships/hyperlink" Target="http://www.portaldatransparencia.gov.br/ceis" TargetMode="External"/><Relationship Id="rId4" Type="http://schemas.openxmlformats.org/officeDocument/2006/relationships/hyperlink" Target="http://www.cnj.jus.br/improbidade_adm/consultar_requerido.php" TargetMode="External"/><Relationship Id="rId5" Type="http://schemas.openxmlformats.org/officeDocument/2006/relationships/hyperlink" Target="https://certidoesapf.apps.tcu.gov.br/" TargetMode="External"/><Relationship Id="rId6" Type="http://schemas.openxmlformats.org/officeDocument/2006/relationships/hyperlink" Target="https://bll.org.br/" TargetMode="External"/><Relationship Id="rId7" Type="http://schemas.openxmlformats.org/officeDocument/2006/relationships/hyperlink" Target="https://bll.org.br/" TargetMode="External"/><Relationship Id="rId8" Type="http://schemas.openxmlformats.org/officeDocument/2006/relationships/hyperlink" Target="https://www.gov.br/compras/pt-br/acesso-a-informacao/legislacao/instrucoes-normativas/instrucao-normativa-seges-me-no-73-de-30-de-setembro-de-2022" TargetMode="External"/><Relationship Id="rId9" Type="http://schemas.openxmlformats.org/officeDocument/2006/relationships/hyperlink" Target="https://www.planalto.gov.br/ccivil_03/_ato2019-2022/2021/lei/l14133.htm" TargetMode="External"/><Relationship Id="rId10" Type="http://schemas.openxmlformats.org/officeDocument/2006/relationships/hyperlink" Target="https://bll.org.br/" TargetMode="External"/><Relationship Id="rId11" Type="http://schemas.openxmlformats.org/officeDocument/2006/relationships/hyperlink" Target="https://bll.org.br/" TargetMode="External"/><Relationship Id="rId12" Type="http://schemas.openxmlformats.org/officeDocument/2006/relationships/hyperlink" Target="https://bll.org.br/" TargetMode="External"/><Relationship Id="rId13" Type="http://schemas.openxmlformats.org/officeDocument/2006/relationships/hyperlink" Target="https://www.planalto.gov.br/ccivil_03/_ato2019-2022/2021/lei/l14133.htm" TargetMode="External"/><Relationship Id="rId14" Type="http://schemas.openxmlformats.org/officeDocument/2006/relationships/hyperlink" Target="https://in.gov.br/en/web/dou/-/decreto-n-11.246-de-27-de-outubro-de-2022-440217660" TargetMode="External"/><Relationship Id="rId15" Type="http://schemas.openxmlformats.org/officeDocument/2006/relationships/hyperlink" Target="https://in.gov.br/en/web/dou/-/decreto-n-11.246-de-27-de-outubro-de-2022-440217660" TargetMode="External"/><Relationship Id="rId16" Type="http://schemas.openxmlformats.org/officeDocument/2006/relationships/hyperlink" Target="https://www.planalto.gov.br/ccivil_03/_ato2019-2022/2021/lei/l14133.htm" TargetMode="External"/><Relationship Id="rId17" Type="http://schemas.openxmlformats.org/officeDocument/2006/relationships/hyperlink" Target="https://in.gov.br/en/web/dou/-/decreto-n-11.246-de-27-de-outubro-de-2022-440217660" TargetMode="External"/><Relationship Id="rId18" Type="http://schemas.openxmlformats.org/officeDocument/2006/relationships/hyperlink" Target="https://in.gov.br/en/web/dou/-/decreto-n-11.246-de-27-de-outubro-de-2022-440217660" TargetMode="External"/><Relationship Id="rId19" Type="http://schemas.openxmlformats.org/officeDocument/2006/relationships/hyperlink" Target="https://in.gov.br/en/web/dou/-/decreto-n-11.246-de-27-de-outubro-de-2022-440217660" TargetMode="External"/><Relationship Id="rId20" Type="http://schemas.openxmlformats.org/officeDocument/2006/relationships/hyperlink" Target="https://in.gov.br/en/web/dou/-/decreto-n-11.246-de-27-de-outubro-de-2022-440217660" TargetMode="External"/><Relationship Id="rId21" Type="http://schemas.openxmlformats.org/officeDocument/2006/relationships/hyperlink" Target="https://in.gov.br/en/web/dou/-/decreto-n-11.246-de-27-de-outubro-de-2022-440217660" TargetMode="External"/><Relationship Id="rId22" Type="http://schemas.openxmlformats.org/officeDocument/2006/relationships/hyperlink" Target="https://in.gov.br/en/web/dou/-/decreto-n-11.246-de-27-de-outubro-de-2022-440217660" TargetMode="External"/><Relationship Id="rId23" Type="http://schemas.openxmlformats.org/officeDocument/2006/relationships/hyperlink" Target="https://in.gov.br/en/web/dou/-/decreto-n-11.246-de-27-de-outubro-de-2022-440217660" TargetMode="External"/><Relationship Id="rId24" Type="http://schemas.openxmlformats.org/officeDocument/2006/relationships/hyperlink" Target="https://in.gov.br/en/web/dou/-/decreto-n-11.246-de-27-de-outubro-de-2022-440217660" TargetMode="External"/><Relationship Id="rId25" Type="http://schemas.openxmlformats.org/officeDocument/2006/relationships/hyperlink" Target="https://in.gov.br/en/web/dou/-/decreto-n-11.246-de-27-de-outubro-de-2022-440217660" TargetMode="External"/><Relationship Id="rId26" Type="http://schemas.openxmlformats.org/officeDocument/2006/relationships/hyperlink" Target="https://in.gov.br/en/web/dou/-/decreto-n-11.246-de-27-de-outubro-de-2022-440217660" TargetMode="External"/><Relationship Id="rId27" Type="http://schemas.openxmlformats.org/officeDocument/2006/relationships/hyperlink" Target="https://www.planalto.gov.br/ccivil_03/_ato2019-2022/2021/lei/l14133.htm" TargetMode="External"/><Relationship Id="rId28" Type="http://schemas.openxmlformats.org/officeDocument/2006/relationships/hyperlink" Target="https://in.gov.br/en/web/dou/-/decreto-n-11.246-de-27-de-outubro-de-2022-440217660" TargetMode="External"/><Relationship Id="rId29" Type="http://schemas.openxmlformats.org/officeDocument/2006/relationships/hyperlink" Target="https://www.planalto.gov.br/ccivil_03/_ato2019-2022/2021/lei/l14133.htm" TargetMode="External"/><Relationship Id="rId30" Type="http://schemas.openxmlformats.org/officeDocument/2006/relationships/hyperlink" Target="https://www.planalto.gov.br/ccivil_03/_ato2019-2022/2021/lei/l14133.htm" TargetMode="External"/><Relationship Id="rId31" Type="http://schemas.openxmlformats.org/officeDocument/2006/relationships/hyperlink" Target="https://www.planalto.gov.br/ccivil_03/_ato2015-2018/2015/lei/l13146.htm" TargetMode="External"/><Relationship Id="rId32" Type="http://schemas.openxmlformats.org/officeDocument/2006/relationships/hyperlink" Target="https://www.planalto.gov.br/ccivil_03/_ato2019-2022/2021/lei/l14133.htm" TargetMode="External"/><Relationship Id="rId33" Type="http://schemas.openxmlformats.org/officeDocument/2006/relationships/hyperlink" Target="https://www.planalto.gov.br/ccivil_03/_ato2019-2022/2021/lei/l14133.htm" TargetMode="External"/><Relationship Id="rId34" Type="http://schemas.openxmlformats.org/officeDocument/2006/relationships/hyperlink" Target="https://cetesb.sp.gov.br/licenciamento/documentos/2002_Res_CONAMA_307.pdf" TargetMode="External"/><Relationship Id="rId35" Type="http://schemas.openxmlformats.org/officeDocument/2006/relationships/hyperlink" Target="https://www.ibama.gov.br/sophia/cnia/legislacao/MPOG/IN0001-190110.PDF" TargetMode="External"/><Relationship Id="rId36" Type="http://schemas.openxmlformats.org/officeDocument/2006/relationships/hyperlink" Target="https://www.planalto.gov.br/ccivil_03/_ato2019-2022/2021/lei/l14133.htm" TargetMode="External"/><Relationship Id="rId37" Type="http://schemas.openxmlformats.org/officeDocument/2006/relationships/hyperlink" Target="https://www.planalto.gov.br/ccivil_03/_ato2019-2022/2021/lei/l14133.htm" TargetMode="External"/><Relationship Id="rId38" Type="http://schemas.openxmlformats.org/officeDocument/2006/relationships/hyperlink" Target="https://www.planalto.gov.br/ccivil_03/_ato2019-2022/2021/lei/l14133.htm" TargetMode="External"/><Relationship Id="rId39" Type="http://schemas.openxmlformats.org/officeDocument/2006/relationships/hyperlink" Target="https://leismunicipais.com.br/a/mt/r/rondonopolis/decreto/2023/1169/11685/decreto-n-11685-2023-regulamenta-no-ambito-da-administracao-publica-direta-do-municipio-de-rondonopolis-mt-a-lei-n-14133-de-01-de-abril-de-2021-que-estabelece-normas-gerais-de-licitacao-e-contratacao-para-as-administracoes-publicas-diretas-autarquicas-e-fundacionais-da-uniao-dos-estados-do-distrito-federal-e-dos-municipios-e-da-outras-providencias" TargetMode="External"/><Relationship Id="rId40" Type="http://schemas.openxmlformats.org/officeDocument/2006/relationships/hyperlink" Target="https://www.planalto.gov.br/ccivil_03/_ato2011-2014/2013/lei/l12846.htm" TargetMode="External"/><Relationship Id="rId41" Type="http://schemas.openxmlformats.org/officeDocument/2006/relationships/hyperlink" Target="https://www.planalto.gov.br/ccivil_03/_ato2019-2022/2021/lei/l14133.htm" TargetMode="External"/><Relationship Id="rId42" Type="http://schemas.openxmlformats.org/officeDocument/2006/relationships/hyperlink" Target="https://leismunicipais.com.br/a/mt/r/rondonopolis/decreto/2023/1169/11685/decreto-n-11685-2023-regulamenta-no-ambito-da-administracao-publica-direta-do-municipio-de-rondonopolis-mt-a-lei-n-14133-de-01-de-abril-de-2021-que-estabelece-normas-gerais-de-licitacao-e-contratacao-para-as-administracoes-publicas-diretas-autarquicas-e-fundacionais-da-uniao-dos-estados-do-distrito-federal-e-dos-municipios-e-da-outras-providencias" TargetMode="External"/><Relationship Id="rId43" Type="http://schemas.openxmlformats.org/officeDocument/2006/relationships/hyperlink" Target="https://www.planalto.gov.br/ccivil_03/_ato2019-2022/2021/lei/l14133.htm" TargetMode="External"/><Relationship Id="rId44" Type="http://schemas.openxmlformats.org/officeDocument/2006/relationships/hyperlink" Target="https://leismunicipais.com.br/a/mt/r/rondonopolis/decreto/2023/1169/11685/decreto-n-11685-2023-regulamenta-no-ambito-da-administracao-publica-direta-do-municipio-de-rondonopolis-mt-a-lei-n-14133-de-01-de-abril-de-2021-que-estabelece-normas-gerais-de-licitacao-e-contratacao-para-as-administracoes-publicas-diretas-autarquicas-e-fundacionais-da-uniao-dos-estados-do-distrito-federal-e-dos-municipios-e-da-outras-providencias" TargetMode="External"/><Relationship Id="rId45" Type="http://schemas.openxmlformats.org/officeDocument/2006/relationships/hyperlink" Target="https://www.planalto.gov.br/ccivil_03/_ato2019-2022/2021/lei/l14133.htm" TargetMode="External"/><Relationship Id="rId46" Type="http://schemas.openxmlformats.org/officeDocument/2006/relationships/hyperlink" Target="https://leismunicipais.com.br/a/mt/r/rondonopolis/decreto/2023/1169/11685/decreto-n-11685-2023-regulamenta-no-ambito-da-administracao-publica-direta-do-municipio-de-rondonopolis-mt-a-lei-n-14133-de-01-de-abril-de-2021-que-estabelece-normas-gerais-de-licitacao-e-contratacao-para-as-administracoes-publicas-diretas-autarquicas-e-fundacionais-da-uniao-dos-estados-do-distrito-federal-e-dos-municipios-e-da-outras-providencias" TargetMode="External"/><Relationship Id="rId47" Type="http://schemas.openxmlformats.org/officeDocument/2006/relationships/hyperlink" Target="https://leismunicipais.com.br/a/mt/r/rondonopolis/decreto/2023/1169/11685/decreto-n-11685-2023-regulamenta-no-ambito-da-administracao-publica-direta-do-municipio-de-rondonopolis-mt-a-lei-n-14133-de-01-de-abril-de-2021-que-estabelece-normas-gerais-de-licitacao-e-contratacao-para-as-administracoes-publicas-diretas-autarquicas-e-fundacionais-da-uniao-dos-estados-do-distrito-federal-e-dos-municipios-e-da-outras-providencias" TargetMode="External"/><Relationship Id="rId48" Type="http://schemas.openxmlformats.org/officeDocument/2006/relationships/hyperlink" Target="https://www.planalto.gov.br/ccivil_03/_ato2019-2022/2021/lei/l14133.htm" TargetMode="External"/><Relationship Id="rId49" Type="http://schemas.openxmlformats.org/officeDocument/2006/relationships/hyperlink" Target="https://www.planalto.gov.br/ccivil_03/_ato2019-2022/2021/lei/l14133.htm" TargetMode="External"/><Relationship Id="rId50" Type="http://schemas.openxmlformats.org/officeDocument/2006/relationships/hyperlink" Target="https://www.planalto.gov.br/ccivil_03/_ato2019-2022/2021/lei/l14133.htm" TargetMode="External"/><Relationship Id="rId51" Type="http://schemas.openxmlformats.org/officeDocument/2006/relationships/hyperlink" Target="https://www.planalto.gov.br/ccivil_03/_ato2019-2022/2021/lei/l14133.htm" TargetMode="External"/><Relationship Id="rId52" Type="http://schemas.openxmlformats.org/officeDocument/2006/relationships/hyperlink" Target="https://www.planalto.gov.br/ccivil_03/_ato2019-2022/2021/lei/l14133.htm" TargetMode="External"/><Relationship Id="rId53" Type="http://schemas.openxmlformats.org/officeDocument/2006/relationships/hyperlink" Target="https://www.planalto.gov.br/ccivil_03/_ato2019-2022/2021/lei/l14133.htm" TargetMode="External"/><Relationship Id="rId54" Type="http://schemas.openxmlformats.org/officeDocument/2006/relationships/hyperlink" Target="https://leismunicipais.com.br/a/mt/r/rondonopolis/decreto/2023/1169/11685/decreto-n-11685-2023-regulamenta-no-ambito-da-administracao-publica-direta-do-municipio-de-rondonopolis-mt-a-lei-n-14133-de-01-de-abril-de-2021-que-estabelece-normas-gerais-de-licitacao-e-contratacao-para-as-administracoes-publicas-diretas-autarquicas-e-fundacionais-da-uniao-dos-estados-do-distrito-federal-e-dos-municipios-e-da-outras-providencias" TargetMode="External"/><Relationship Id="rId55" Type="http://schemas.openxmlformats.org/officeDocument/2006/relationships/hyperlink" Target="https://www.planalto.gov.br/ccivil_03/_ato2019-2022/2021/lei/l14133.htm" TargetMode="External"/><Relationship Id="rId56" Type="http://schemas.openxmlformats.org/officeDocument/2006/relationships/hyperlink" Target="https://leismunicipais.com.br/a/mt/r/rondonopolis/decreto/2023/1169/11685/decreto-n-11685-2023-regulamenta-no-ambito-da-administracao-publica-direta-do-municipio-de-rondonopolis-mt-a-lei-n-14133-de-01-de-abril-de-2021-que-estabelece-normas-gerais-de-licitacao-e-contratacao-para-as-administracoes-publicas-diretas-autarquicas-e-fundacionais-da-uniao-dos-estados-do-distrito-federal-e-dos-municipios-e-da-outras-providencias" TargetMode="External"/><Relationship Id="rId57" Type="http://schemas.openxmlformats.org/officeDocument/2006/relationships/hyperlink" Target="https://www.planalto.gov.br/ccivil_03/_ato2019-2022/2021/lei/l14133.htm" TargetMode="External"/><Relationship Id="rId58" Type="http://schemas.openxmlformats.org/officeDocument/2006/relationships/hyperlink" Target="https://www.gov.br/compras/pt-br/acesso-a-informacao/legislacao/instrucoes-normativas/instrucao-normativa-seges-me-no-26-de-13-de-abril-de-2022" TargetMode="External"/><Relationship Id="rId59" Type="http://schemas.openxmlformats.org/officeDocument/2006/relationships/hyperlink" Target="https://www.planalto.gov.br/ccivil_03/leis/leis_2001/l10192.htm" TargetMode="External"/><Relationship Id="rId60" Type="http://schemas.openxmlformats.org/officeDocument/2006/relationships/hyperlink" Target="https://www.gov.br/dnit/pt-br/central-de-conteudos/atos-normativos/tipo/instrucao-normativa/2023/instrucao-normativa-no-1-2023" TargetMode="External"/><Relationship Id="rId61" Type="http://schemas.openxmlformats.org/officeDocument/2006/relationships/image" Target="media/image1.png"/><Relationship Id="rId62" Type="http://schemas.openxmlformats.org/officeDocument/2006/relationships/hyperlink" Target="https://www.gov.br/dnit/pt-br/central-de-conteudos/atos-normativos/tipo/instrucao-normativa/2023/instrucao-normativa-no-1-2023" TargetMode="External"/><Relationship Id="rId63" Type="http://schemas.openxmlformats.org/officeDocument/2006/relationships/hyperlink" Target="https://bll.org.br/" TargetMode="External"/><Relationship Id="rId64" Type="http://schemas.openxmlformats.org/officeDocument/2006/relationships/hyperlink" Target="https://bll.org.br/" TargetMode="External"/><Relationship Id="rId65" Type="http://schemas.openxmlformats.org/officeDocument/2006/relationships/header" Target="header1.xml"/><Relationship Id="rId66" Type="http://schemas.openxmlformats.org/officeDocument/2006/relationships/footer" Target="footer1.xml"/><Relationship Id="rId67" Type="http://schemas.openxmlformats.org/officeDocument/2006/relationships/numbering" Target="numbering.xml"/><Relationship Id="rId68" Type="http://schemas.openxmlformats.org/officeDocument/2006/relationships/fontTable" Target="fontTable.xml"/><Relationship Id="rId69" Type="http://schemas.openxmlformats.org/officeDocument/2006/relationships/settings" Target="settings.xml"/><Relationship Id="rId7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rondonopolis.mt.gov.br/" TargetMode="Externa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LibreOffice/7.3.5.2$Windows_X86_64 LibreOffice_project/184fe81b8c8c30d8b5082578aee2fed2ea847c01</Application>
  <AppVersion>15.0000</AppVersion>
  <Pages>57</Pages>
  <Words>27939</Words>
  <Characters>160607</Characters>
  <CharactersWithSpaces>188066</CharactersWithSpaces>
  <Paragraphs>1137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2026-07-09T19:31:00Z</dcterms:created>
  <dc:creator>policiamt</dc:creator>
  <dc:description/>
  <dc:language>pt-BR</dc:language>
  <cp:lastModifiedBy/>
  <cp:lastPrinted>2026-07-09T17:01:11Z</cp:lastPrinted>
  <dcterms:modified xsi:type="dcterms:W3CDTF">2026-07-09T17:09:07Z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4C803929C7DE4FACB8E1A82B99839D46_12</vt:lpwstr>
  </property>
  <property fmtid="{D5CDD505-2E9C-101B-9397-08002B2CF9AE}" pid="3" name="KSOProductBuildVer">
    <vt:lpwstr>1046-12.2.0.18283</vt:lpwstr>
  </property>
</Properties>
</file>