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12F6D">
      <w:pPr>
        <w:pStyle w:val="143"/>
        <w:spacing w:line="276" w:lineRule="auto"/>
        <w:jc w:val="center"/>
        <w:rPr>
          <w:rFonts w:ascii="Times New Roman" w:hAnsi="Times New Roman" w:cs="Times New Roman"/>
          <w:b w:val="0"/>
          <w:bCs w:val="0"/>
          <w:i w:val="0"/>
          <w:caps w:val="0"/>
          <w:smallCaps w:val="0"/>
          <w:strike w:val="0"/>
          <w:color w:val="000000"/>
          <w:spacing w:val="0"/>
          <w:sz w:val="20"/>
          <w:szCs w:val="20"/>
          <w:u w:val="none"/>
          <w:lang w:val="pt-BR" w:bidi="ar-SA"/>
        </w:rPr>
      </w:pPr>
      <w:bookmarkStart w:id="2" w:name="_GoBack"/>
      <w:bookmarkEnd w:id="2"/>
    </w:p>
    <w:p w14:paraId="7D9DA5E7">
      <w:pPr>
        <w:pStyle w:val="143"/>
        <w:spacing w:line="276" w:lineRule="auto"/>
        <w:jc w:val="center"/>
        <w:rPr>
          <w:rFonts w:ascii="Book Antiqua" w:hAnsi="Book Antiqua" w:cs="Book Antiqua"/>
          <w:b/>
          <w:bCs w:val="0"/>
          <w:i w:val="0"/>
          <w:caps w:val="0"/>
          <w:smallCaps w:val="0"/>
          <w:strike w:val="0"/>
          <w:color w:val="000000"/>
          <w:spacing w:val="0"/>
          <w:sz w:val="18"/>
          <w:szCs w:val="18"/>
          <w:highlight w:val="none"/>
          <w:u w:val="single"/>
          <w:lang w:val="pt-BR" w:bidi="ar-SA"/>
        </w:rPr>
      </w:pPr>
      <w:r>
        <w:rPr>
          <w:rFonts w:ascii="Book Antiqua" w:hAnsi="Book Antiqua" w:cs="Book Antiqua"/>
          <w:b/>
          <w:i w:val="0"/>
          <w:caps w:val="0"/>
          <w:smallCaps w:val="0"/>
          <w:strike w:val="0"/>
          <w:color w:val="000000"/>
          <w:spacing w:val="0"/>
          <w:sz w:val="18"/>
          <w:szCs w:val="18"/>
          <w:u w:val="single"/>
          <w:lang w:val="pt-BR" w:bidi="ar-SA"/>
        </w:rPr>
        <w:t>EDITAL DE LICITAÇÃO</w:t>
      </w:r>
    </w:p>
    <w:p w14:paraId="56C4CB77">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6BADCC9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MODALIDADE: “CONCORRÊNCIA Nº 10/2026”</w:t>
      </w:r>
    </w:p>
    <w:p w14:paraId="07A1154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63D603A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VALOR ESTIMADO: R$ 18.229.513,68</w:t>
      </w:r>
    </w:p>
    <w:p w14:paraId="2C61CE0B">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C3E197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CRITÉRIO DE JULGAMENTO: MENOR PREÇO</w:t>
      </w:r>
    </w:p>
    <w:p w14:paraId="1ACB89F7">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0A070A5">
      <w:pPr>
        <w:pStyle w:val="143"/>
        <w:spacing w:line="276" w:lineRule="auto"/>
        <w:jc w:val="center"/>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r>
        <w:rPr>
          <w:rFonts w:ascii="Book Antiqua" w:hAnsi="Book Antiqua" w:cs="Book Antiqua"/>
          <w:b/>
          <w:i w:val="0"/>
          <w:caps w:val="0"/>
          <w:smallCaps w:val="0"/>
          <w:strike w:val="0"/>
          <w:color w:val="000000"/>
          <w:spacing w:val="0"/>
          <w:sz w:val="18"/>
          <w:szCs w:val="18"/>
          <w:u w:val="single"/>
          <w:shd w:val="clear" w:color="auto" w:fill="FFFF00"/>
          <w:lang w:val="pt-BR" w:bidi="ar-SA"/>
        </w:rPr>
        <w:t>MODO DE DISPUTA: ABERTO</w:t>
      </w:r>
    </w:p>
    <w:p w14:paraId="72F4F60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0293E489">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FORMA: ELETRÔNICA</w:t>
      </w:r>
    </w:p>
    <w:p w14:paraId="7279F33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2A4468C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47DF58C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4302CA9">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A PREFEITURA MUNICIPAL DE RONDONÓPOLIS/MT, Estado de Mato Grosso, localizada à Avenida Duque de Caxias, n.º 526, Bairro Vila Aurora, torna público que realizará licitação no dia </w:t>
      </w:r>
      <w:r>
        <w:rPr>
          <w:rFonts w:hint="default" w:ascii="Book Antiqua" w:hAnsi="Book Antiqua" w:cs="Book Antiqua"/>
          <w:b/>
          <w:bCs/>
          <w:i w:val="0"/>
          <w:caps w:val="0"/>
          <w:smallCaps w:val="0"/>
          <w:strike w:val="0"/>
          <w:color w:val="000000"/>
          <w:spacing w:val="0"/>
          <w:sz w:val="18"/>
          <w:szCs w:val="18"/>
          <w:highlight w:val="yellow"/>
          <w:u w:val="none"/>
          <w:lang w:val="pt-BR" w:bidi="ar-SA"/>
        </w:rPr>
        <w:t>17</w:t>
      </w:r>
      <w:r>
        <w:rPr>
          <w:rFonts w:ascii="Book Antiqua" w:hAnsi="Book Antiqua" w:cs="Book Antiqua"/>
          <w:b/>
          <w:bCs/>
          <w:i w:val="0"/>
          <w:caps w:val="0"/>
          <w:smallCaps w:val="0"/>
          <w:strike w:val="0"/>
          <w:color w:val="000000"/>
          <w:spacing w:val="0"/>
          <w:sz w:val="18"/>
          <w:szCs w:val="18"/>
          <w:highlight w:val="yellow"/>
          <w:u w:val="none"/>
          <w:shd w:val="clear" w:color="auto" w:fill="FFFF00"/>
          <w:lang w:val="pt-BR" w:bidi="ar-SA"/>
        </w:rPr>
        <w:t>/0</w:t>
      </w:r>
      <w:r>
        <w:rPr>
          <w:rFonts w:hint="default" w:ascii="Book Antiqua" w:hAnsi="Book Antiqua" w:cs="Book Antiqua"/>
          <w:b/>
          <w:bCs/>
          <w:i w:val="0"/>
          <w:caps w:val="0"/>
          <w:smallCaps w:val="0"/>
          <w:strike w:val="0"/>
          <w:color w:val="000000"/>
          <w:spacing w:val="0"/>
          <w:sz w:val="18"/>
          <w:szCs w:val="18"/>
          <w:highlight w:val="yellow"/>
          <w:u w:val="none"/>
          <w:shd w:val="clear" w:color="auto" w:fill="FFFF00"/>
          <w:lang w:val="pt-BR" w:bidi="ar-SA"/>
        </w:rPr>
        <w:t>8</w:t>
      </w:r>
      <w:r>
        <w:rPr>
          <w:rFonts w:ascii="Book Antiqua" w:hAnsi="Book Antiqua" w:cs="Book Antiqua"/>
          <w:b/>
          <w:bCs/>
          <w:i w:val="0"/>
          <w:caps w:val="0"/>
          <w:smallCaps w:val="0"/>
          <w:strike w:val="0"/>
          <w:color w:val="000000"/>
          <w:spacing w:val="0"/>
          <w:sz w:val="18"/>
          <w:szCs w:val="18"/>
          <w:highlight w:val="yellow"/>
          <w:u w:val="none"/>
          <w:shd w:val="clear" w:color="auto" w:fill="FFFF00"/>
          <w:lang w:val="pt-BR" w:bidi="ar-SA"/>
        </w:rPr>
        <w:t xml:space="preserve">/2026 </w:t>
      </w:r>
      <w:r>
        <w:rPr>
          <w:rFonts w:ascii="Book Antiqua" w:hAnsi="Book Antiqua" w:cs="Book Antiqua"/>
          <w:b w:val="0"/>
          <w:bCs w:val="0"/>
          <w:i w:val="0"/>
          <w:iCs w:val="0"/>
          <w:caps w:val="0"/>
          <w:smallCaps w:val="0"/>
          <w:strike w:val="0"/>
          <w:color w:val="000000"/>
          <w:spacing w:val="0"/>
          <w:sz w:val="18"/>
          <w:szCs w:val="18"/>
          <w:highlight w:val="yellow"/>
          <w:u w:val="none"/>
          <w:lang w:val="pt-BR"/>
        </w:rPr>
        <w:t xml:space="preserve">às 15h00min. </w:t>
      </w:r>
      <w:r>
        <w:rPr>
          <w:rFonts w:ascii="Book Antiqua" w:hAnsi="Book Antiqua" w:cs="Book Antiqua"/>
          <w:b w:val="0"/>
          <w:bCs w:val="0"/>
          <w:i w:val="0"/>
          <w:iCs w:val="0"/>
          <w:caps w:val="0"/>
          <w:smallCaps w:val="0"/>
          <w:strike w:val="0"/>
          <w:color w:val="000000"/>
          <w:spacing w:val="0"/>
          <w:sz w:val="18"/>
          <w:szCs w:val="18"/>
          <w:u w:val="none"/>
          <w:lang w:val="pt-BR"/>
        </w:rPr>
        <w:t>horas (HORÁRIO DE BRASÍLIA),</w:t>
      </w:r>
      <w:r>
        <w:rPr>
          <w:rFonts w:ascii="Book Antiqua" w:hAnsi="Book Antiqua" w:cs="Book Antiqua"/>
          <w:b w:val="0"/>
          <w:bCs w:val="0"/>
          <w:i w:val="0"/>
          <w:iCs w:val="0"/>
          <w:caps w:val="0"/>
          <w:smallCaps w:val="0"/>
          <w:strike w:val="0"/>
          <w:color w:val="000000"/>
          <w:spacing w:val="0"/>
          <w:sz w:val="18"/>
          <w:szCs w:val="18"/>
          <w:u w:val="none"/>
          <w:lang w:val="pt-BR" w:bidi="ar-SA"/>
        </w:rPr>
        <w:t xml:space="preserve"> na modalidade de CONCORRÊNCIA ELETRÔNICA, julgamento MENOR PREÇO, de a</w:t>
      </w:r>
      <w:r>
        <w:rPr>
          <w:rFonts w:ascii="Book Antiqua" w:hAnsi="Book Antiqua" w:cs="Book Antiqua"/>
          <w:b w:val="0"/>
          <w:i w:val="0"/>
          <w:caps w:val="0"/>
          <w:smallCaps w:val="0"/>
          <w:strike w:val="0"/>
          <w:color w:val="000000"/>
          <w:spacing w:val="0"/>
          <w:sz w:val="18"/>
          <w:szCs w:val="18"/>
          <w:u w:val="none"/>
          <w:lang w:val="pt-BR" w:bidi="ar-SA"/>
        </w:rPr>
        <w:t xml:space="preserve">cordo com o que se encontra definido na especificação e condições estabelecidas neste Edital e seus anexos, cuja direção e julgamento serão realizados por seus Agentes de Contratação nomeados pela </w:t>
      </w:r>
      <w:r>
        <w:rPr>
          <w:rFonts w:ascii="Book Antiqua" w:hAnsi="Book Antiqua" w:cs="Book Antiqua"/>
          <w:b w:val="0"/>
          <w:i w:val="0"/>
          <w:caps w:val="0"/>
          <w:smallCaps w:val="0"/>
          <w:strike w:val="0"/>
          <w:color w:val="000000"/>
          <w:spacing w:val="0"/>
          <w:sz w:val="18"/>
          <w:szCs w:val="18"/>
          <w:u w:val="none"/>
          <w:shd w:val="clear" w:color="auto" w:fill="FFFF00"/>
          <w:lang w:val="pt-BR" w:bidi="ar-SA"/>
        </w:rPr>
        <w:t>Portaria nº 41.169 de abril de 2026</w:t>
      </w:r>
      <w:r>
        <w:rPr>
          <w:rFonts w:ascii="Book Antiqua" w:hAnsi="Book Antiqua" w:cs="Book Antiqua"/>
          <w:b w:val="0"/>
          <w:i w:val="0"/>
          <w:caps w:val="0"/>
          <w:smallCaps w:val="0"/>
          <w:strike w:val="0"/>
          <w:color w:val="000000"/>
          <w:spacing w:val="0"/>
          <w:sz w:val="18"/>
          <w:szCs w:val="18"/>
          <w:u w:val="none"/>
          <w:lang w:val="pt-BR" w:bidi="ar-SA"/>
        </w:rPr>
        <w:t>, em conformidade com o disposto na Lei de Licitações e Contratos Administrativos nº 14.133, de 1º de abril de 2021, alterações e Decreto Municipal nº 11.685, de 18 de setembro de 2023 demais legislações pertinentes, mediante as condições estabelecidas neste Edital e seus anexos.</w:t>
      </w:r>
    </w:p>
    <w:p w14:paraId="10A6F6B3">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0F436F63">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O Prazo para cadastramento da </w:t>
      </w:r>
      <w:r>
        <w:rPr>
          <w:rFonts w:ascii="Book Antiqua" w:hAnsi="Book Antiqua" w:cs="Book Antiqua"/>
          <w:b/>
          <w:i w:val="0"/>
          <w:caps w:val="0"/>
          <w:smallCaps w:val="0"/>
          <w:strike w:val="0"/>
          <w:color w:val="000000"/>
          <w:spacing w:val="0"/>
          <w:sz w:val="18"/>
          <w:szCs w:val="18"/>
          <w:u w:val="none"/>
          <w:lang w:val="pt-BR" w:bidi="ar-SA"/>
        </w:rPr>
        <w:t>PROPOSTA ELETRÔNICA DE PREÇOS e</w:t>
      </w:r>
      <w:r>
        <w:rPr>
          <w:rFonts w:ascii="Book Antiqua" w:hAnsi="Book Antiqua" w:cs="Book Antiqua"/>
          <w:b w:val="0"/>
          <w:i w:val="0"/>
          <w:caps w:val="0"/>
          <w:smallCaps w:val="0"/>
          <w:strike w:val="0"/>
          <w:color w:val="000000"/>
          <w:spacing w:val="0"/>
          <w:sz w:val="18"/>
          <w:szCs w:val="18"/>
          <w:u w:val="none"/>
          <w:lang w:val="pt-BR" w:bidi="ar-SA"/>
        </w:rPr>
        <w:t xml:space="preserve"> </w:t>
      </w:r>
      <w:r>
        <w:rPr>
          <w:rFonts w:ascii="Book Antiqua" w:hAnsi="Book Antiqua" w:cs="Book Antiqua"/>
          <w:b/>
          <w:i w:val="0"/>
          <w:caps w:val="0"/>
          <w:smallCaps w:val="0"/>
          <w:strike w:val="0"/>
          <w:color w:val="000000"/>
          <w:spacing w:val="0"/>
          <w:sz w:val="18"/>
          <w:szCs w:val="18"/>
          <w:u w:val="none"/>
          <w:lang w:val="pt-BR" w:bidi="ar-SA"/>
        </w:rPr>
        <w:t xml:space="preserve">DOCUMENTAÇÃO DE HABILITAÇÃO </w:t>
      </w:r>
      <w:r>
        <w:rPr>
          <w:rFonts w:ascii="Book Antiqua" w:hAnsi="Book Antiqua" w:cs="Book Antiqua"/>
          <w:b w:val="0"/>
          <w:i w:val="0"/>
          <w:caps w:val="0"/>
          <w:smallCaps w:val="0"/>
          <w:strike w:val="0"/>
          <w:color w:val="000000"/>
          <w:spacing w:val="0"/>
          <w:sz w:val="18"/>
          <w:szCs w:val="18"/>
          <w:u w:val="none"/>
          <w:lang w:val="pt-BR" w:bidi="ar-SA"/>
        </w:rPr>
        <w:t xml:space="preserve">junto a Plataforma Eletrônica constante na página eletrônica da BLL – Bolsa de Licitações e Leilões (bllcompras.com) até as </w:t>
      </w:r>
      <w:r>
        <w:rPr>
          <w:rFonts w:ascii="Book Antiqua" w:hAnsi="Book Antiqua" w:cs="Book Antiqua"/>
          <w:b w:val="0"/>
          <w:i w:val="0"/>
          <w:caps w:val="0"/>
          <w:smallCaps w:val="0"/>
          <w:strike w:val="0"/>
          <w:color w:val="000000"/>
          <w:spacing w:val="0"/>
          <w:sz w:val="18"/>
          <w:szCs w:val="18"/>
          <w:highlight w:val="yellow"/>
          <w:u w:val="none"/>
          <w:lang w:val="pt-BR" w:bidi="ar-SA"/>
        </w:rPr>
        <w:t>14</w:t>
      </w:r>
      <w:r>
        <w:rPr>
          <w:rFonts w:ascii="Book Antiqua" w:hAnsi="Book Antiqua" w:cs="Book Antiqua"/>
          <w:b/>
          <w:i w:val="0"/>
          <w:caps w:val="0"/>
          <w:smallCaps w:val="0"/>
          <w:strike w:val="0"/>
          <w:color w:val="000000"/>
          <w:spacing w:val="0"/>
          <w:sz w:val="18"/>
          <w:szCs w:val="18"/>
          <w:highlight w:val="yellow"/>
          <w:u w:val="none"/>
          <w:shd w:val="clear" w:color="auto" w:fill="FFFF00"/>
          <w:lang w:val="pt-BR" w:bidi="ar-SA"/>
        </w:rPr>
        <w:t>h3</w:t>
      </w:r>
      <w:r>
        <w:rPr>
          <w:rFonts w:ascii="Book Antiqua" w:hAnsi="Book Antiqua" w:cs="Book Antiqua"/>
          <w:b/>
          <w:i w:val="0"/>
          <w:caps w:val="0"/>
          <w:smallCaps w:val="0"/>
          <w:strike w:val="0"/>
          <w:color w:val="000000"/>
          <w:spacing w:val="0"/>
          <w:sz w:val="18"/>
          <w:szCs w:val="18"/>
          <w:u w:val="none"/>
          <w:shd w:val="clear" w:color="auto" w:fill="FFFF00"/>
          <w:lang w:val="pt-BR" w:bidi="ar-SA"/>
        </w:rPr>
        <w:t xml:space="preserve">0min (horário de Brasília) do dia </w:t>
      </w:r>
      <w:r>
        <w:rPr>
          <w:rFonts w:hint="default" w:ascii="Book Antiqua" w:hAnsi="Book Antiqua" w:cs="Book Antiqua"/>
          <w:b/>
          <w:i w:val="0"/>
          <w:caps w:val="0"/>
          <w:smallCaps w:val="0"/>
          <w:strike w:val="0"/>
          <w:color w:val="000000"/>
          <w:spacing w:val="0"/>
          <w:sz w:val="18"/>
          <w:szCs w:val="18"/>
          <w:u w:val="none"/>
          <w:shd w:val="clear" w:color="auto" w:fill="FFFF00"/>
          <w:lang w:val="pt-BR" w:bidi="ar-SA"/>
        </w:rPr>
        <w:t>17</w:t>
      </w:r>
      <w:r>
        <w:rPr>
          <w:rFonts w:ascii="Book Antiqua" w:hAnsi="Book Antiqua" w:cs="Book Antiqua"/>
          <w:b/>
          <w:i w:val="0"/>
          <w:caps w:val="0"/>
          <w:smallCaps w:val="0"/>
          <w:strike w:val="0"/>
          <w:color w:val="000000"/>
          <w:spacing w:val="0"/>
          <w:sz w:val="18"/>
          <w:szCs w:val="18"/>
          <w:u w:val="none"/>
          <w:shd w:val="clear" w:color="auto" w:fill="FFFF00"/>
          <w:lang w:val="pt-BR" w:bidi="ar-SA"/>
        </w:rPr>
        <w:t>/0</w:t>
      </w:r>
      <w:r>
        <w:rPr>
          <w:rFonts w:hint="default" w:ascii="Book Antiqua" w:hAnsi="Book Antiqua" w:cs="Book Antiqua"/>
          <w:b/>
          <w:i w:val="0"/>
          <w:caps w:val="0"/>
          <w:smallCaps w:val="0"/>
          <w:strike w:val="0"/>
          <w:color w:val="000000"/>
          <w:spacing w:val="0"/>
          <w:sz w:val="18"/>
          <w:szCs w:val="18"/>
          <w:u w:val="none"/>
          <w:shd w:val="clear" w:color="auto" w:fill="FFFF00"/>
          <w:lang w:val="pt-BR" w:bidi="ar-SA"/>
        </w:rPr>
        <w:t>8</w:t>
      </w:r>
      <w:r>
        <w:rPr>
          <w:rFonts w:ascii="Book Antiqua" w:hAnsi="Book Antiqua" w:cs="Book Antiqua"/>
          <w:b/>
          <w:i w:val="0"/>
          <w:caps w:val="0"/>
          <w:smallCaps w:val="0"/>
          <w:strike w:val="0"/>
          <w:color w:val="000000"/>
          <w:spacing w:val="0"/>
          <w:sz w:val="18"/>
          <w:szCs w:val="18"/>
          <w:u w:val="none"/>
          <w:shd w:val="clear" w:color="auto" w:fill="FFFF00"/>
          <w:lang w:val="pt-BR" w:bidi="ar-SA"/>
        </w:rPr>
        <w:t>/2026.</w:t>
      </w:r>
    </w:p>
    <w:p w14:paraId="4CB3AE12">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13EB6CCC">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Os interessados poderão retirar o Edital completo, no bllcompras.com bem como examinar o Estudo Técnico Preliminar – ETP e Projeto Básico, na sede da Prefeitura Municipal, no endereço – Av. Duque de Caxias, n. 526, Vila Aurora, mediante apresentação de CD-ROM ou PEN-DRIVE, no horário das 13:00 às 17:00 horas em dias úteis.</w:t>
      </w:r>
    </w:p>
    <w:p w14:paraId="7FE51794">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77A3771B">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140DBD29">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70BFEF48">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03DA4FBB">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1838976E">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06D1046C">
      <w:pPr>
        <w:pStyle w:val="143"/>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5732519E">
      <w:pPr>
        <w:pStyle w:val="210"/>
        <w:jc w:val="center"/>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i w:val="0"/>
          <w:caps w:val="0"/>
          <w:smallCaps w:val="0"/>
          <w:strike w:val="0"/>
          <w:color w:val="000000"/>
          <w:spacing w:val="0"/>
          <w:sz w:val="18"/>
          <w:szCs w:val="18"/>
          <w:u w:val="none"/>
          <w:lang w:val="pt-BR" w:bidi="hi-IN"/>
        </w:rPr>
        <w:t>RAFAELLY PRISCILA REZENDE DE ALMEIDA</w:t>
      </w:r>
    </w:p>
    <w:p w14:paraId="00E46F6F">
      <w:pPr>
        <w:pStyle w:val="210"/>
        <w:spacing w:line="276" w:lineRule="auto"/>
        <w:jc w:val="center"/>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ar-SA"/>
        </w:rPr>
        <w:t>Superintendente de Compras e Licitação</w:t>
      </w:r>
    </w:p>
    <w:p w14:paraId="0EEA7EFD">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02B02115">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5D457E75">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2FA0346E">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2DF8D599">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1BA409EF">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7FD0C7C9">
      <w:pPr>
        <w:pStyle w:val="143"/>
        <w:tabs>
          <w:tab w:val="left" w:pos="6660"/>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515685BB">
      <w:pPr>
        <w:pStyle w:val="143"/>
        <w:spacing w:line="276" w:lineRule="auto"/>
        <w:ind w:left="0" w:right="0" w:firstLine="1411"/>
        <w:jc w:val="both"/>
        <w:rPr>
          <w:rFonts w:ascii="Times New Roman" w:hAnsi="Times New Roman" w:cs="Times New Roman"/>
          <w:b w:val="0"/>
          <w:i w:val="0"/>
          <w:caps w:val="0"/>
          <w:smallCaps w:val="0"/>
          <w:strike w:val="0"/>
          <w:color w:val="000000"/>
          <w:spacing w:val="0"/>
          <w:sz w:val="20"/>
          <w:szCs w:val="20"/>
          <w:u w:val="none"/>
          <w:lang w:val="pt-BR" w:bidi="ar-SA"/>
        </w:rPr>
      </w:pPr>
    </w:p>
    <w:p w14:paraId="4B028333">
      <w:pPr>
        <w:sectPr>
          <w:headerReference r:id="rId3" w:type="default"/>
          <w:footerReference r:id="rId4" w:type="default"/>
          <w:type w:val="continuous"/>
          <w:pgSz w:w="11905" w:h="16837"/>
          <w:pgMar w:top="2003" w:right="746" w:bottom="0" w:left="1440" w:header="571" w:footer="10" w:gutter="0"/>
          <w:pgNumType w:fmt="decimal"/>
          <w:cols w:space="708" w:num="1"/>
        </w:sectPr>
      </w:pPr>
    </w:p>
    <w:p w14:paraId="62D21FFA">
      <w:pPr>
        <w:pStyle w:val="143"/>
        <w:pageBreakBefore/>
        <w:numPr>
          <w:ilvl w:val="0"/>
          <w:numId w:val="1"/>
        </w:numPr>
        <w:pBdr>
          <w:top w:val="single" w:color="000000" w:sz="4" w:space="0"/>
          <w:left w:val="single" w:color="000000" w:sz="4" w:space="0"/>
          <w:bottom w:val="single" w:color="000000" w:sz="4" w:space="0"/>
          <w:right w:val="single" w:color="000000" w:sz="4" w:space="0"/>
        </w:pBdr>
        <w:shd w:val="clear" w:color="auto" w:fill="E0E0E0"/>
        <w:tabs>
          <w:tab w:val="left" w:pos="566"/>
        </w:tabs>
        <w:spacing w:line="276" w:lineRule="auto"/>
        <w:ind w:left="0" w:right="0" w:firstLine="0"/>
        <w:jc w:val="center"/>
        <w:rPr>
          <w:rFonts w:ascii="Book Antiqua" w:hAnsi="Book Antiqua" w:cs="Book Antiqua"/>
          <w:b/>
          <w:i w:val="0"/>
          <w:caps w:val="0"/>
          <w:smallCaps w:val="0"/>
          <w:strike w:val="0"/>
          <w:color w:val="000000"/>
          <w:spacing w:val="0"/>
          <w:sz w:val="18"/>
          <w:szCs w:val="18"/>
          <w:u w:val="none"/>
          <w:lang w:val="pt-BR" w:bidi="ar-SA"/>
        </w:rPr>
      </w:pPr>
      <w:r>
        <w:rPr>
          <w:rFonts w:ascii="Book Antiqua" w:hAnsi="Book Antiqua" w:cs="Book Antiqua"/>
          <w:b/>
          <w:i w:val="0"/>
          <w:caps w:val="0"/>
          <w:smallCaps w:val="0"/>
          <w:strike w:val="0"/>
          <w:color w:val="000000"/>
          <w:spacing w:val="0"/>
          <w:sz w:val="18"/>
          <w:szCs w:val="18"/>
          <w:u w:val="none"/>
          <w:lang w:val="pt-BR" w:bidi="ar-SA"/>
        </w:rPr>
        <w:t>DO EDITAL</w:t>
      </w:r>
    </w:p>
    <w:p w14:paraId="153D636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D36F9A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DDDDDD"/>
          <w:lang w:val="pt-BR" w:bidi="ar-SA"/>
        </w:rPr>
      </w:pPr>
    </w:p>
    <w:p w14:paraId="3B27345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1.1. São partes integrantes deste Edital, em anexos digitais disponibilizados na BLL e no PNCP, o Estudo Técnico Preliminar – ETP e o Projeto Básico, contendo:</w:t>
      </w:r>
    </w:p>
    <w:p w14:paraId="5B98E8C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CBC74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br w:type="textWrapping"/>
      </w:r>
      <w:r>
        <w:rPr>
          <w:rFonts w:ascii="Book Antiqua" w:hAnsi="Book Antiqua" w:cs="Book Antiqua"/>
          <w:b/>
          <w:i w:val="0"/>
          <w:caps w:val="0"/>
          <w:smallCaps w:val="0"/>
          <w:strike w:val="0"/>
          <w:color w:val="000000"/>
          <w:spacing w:val="0"/>
          <w:sz w:val="18"/>
          <w:szCs w:val="18"/>
          <w:u w:val="none"/>
          <w:shd w:val="clear" w:color="auto" w:fill="FFFFFF"/>
          <w:lang w:val="pt-BR" w:bidi="ar-SA"/>
        </w:rPr>
        <w:t>I – Estudo Técnico Preliminar – Mapa de Riscos;</w:t>
      </w:r>
    </w:p>
    <w:p w14:paraId="082FB9D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II – Projeto Básico/Executivo;</w:t>
      </w:r>
    </w:p>
    <w:p w14:paraId="7C21823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III – Planilha Orçamentária;</w:t>
      </w:r>
    </w:p>
    <w:p w14:paraId="06F3D03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IV – Cronograma Físico-Financeiro;</w:t>
      </w:r>
    </w:p>
    <w:p w14:paraId="20352FF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V – Memorial Descritivo;</w:t>
      </w:r>
    </w:p>
    <w:p w14:paraId="48DAD8B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VI – Memorial de Cálculo;</w:t>
      </w:r>
    </w:p>
    <w:p w14:paraId="757E8E4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VII – Projeto de engenharia.</w:t>
      </w:r>
    </w:p>
    <w:p w14:paraId="1A42B85E">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3595653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Anexos</w:t>
      </w:r>
      <w:r>
        <w:rPr>
          <w:rFonts w:ascii="Book Antiqua" w:hAnsi="Book Antiqua" w:cs="Book Antiqua"/>
          <w:b w:val="0"/>
          <w:i w:val="0"/>
          <w:caps w:val="0"/>
          <w:smallCaps w:val="0"/>
          <w:strike w:val="0"/>
          <w:color w:val="000000"/>
          <w:spacing w:val="0"/>
          <w:sz w:val="18"/>
          <w:szCs w:val="18"/>
          <w:u w:val="none"/>
          <w:shd w:val="clear" w:color="auto" w:fill="FFFFFF"/>
          <w:lang w:val="pt-BR" w:bidi="ar-SA"/>
        </w:rPr>
        <w:t>:</w:t>
      </w:r>
    </w:p>
    <w:p w14:paraId="5E580630">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I – Modelo de Proposta de Preços</w:t>
      </w:r>
    </w:p>
    <w:p w14:paraId="277CCB33">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II – Modelo de Declaração de Não Empregar Menor</w:t>
      </w:r>
    </w:p>
    <w:p w14:paraId="01469764">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III – Modelo Declaração de Inexistência de Fato Impeditivo a Habilitação</w:t>
      </w:r>
    </w:p>
    <w:p w14:paraId="6D1E5E36">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IV – Modelo de Termo de Vistoria</w:t>
      </w:r>
    </w:p>
    <w:p w14:paraId="148585F4">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V – Modelo Declaração de Inexistência no Quadro de Dirigentes da Entidade de Servidores com Vínculos no Poder Público.</w:t>
      </w:r>
    </w:p>
    <w:p w14:paraId="02CECE82">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VI – Declaração de microempresa ou empresa de pequeno porte Lei 123-2006.</w:t>
      </w:r>
    </w:p>
    <w:p w14:paraId="6A44D64F">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VII – Declaração de conhecimento do local a ser realizada a serviço</w:t>
      </w:r>
    </w:p>
    <w:p w14:paraId="6A8CF2E0">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VIII – Modelo Bonificação e Despesas Indireta – BDI</w:t>
      </w:r>
    </w:p>
    <w:p w14:paraId="25898930">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Anexo IX – Minuta de Contrato</w:t>
      </w:r>
    </w:p>
    <w:p w14:paraId="29D65392">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3E9D5A0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409DAD7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F6AB5F8">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B755FF3">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A02DAEA">
      <w:pPr>
        <w:rPr>
          <w:rFonts w:ascii="Book Antiqua" w:hAnsi="Book Antiqua" w:cs="Book Antiqua"/>
          <w:b/>
          <w:bCs w:val="0"/>
          <w:i w:val="0"/>
          <w:caps w:val="0"/>
          <w:smallCaps w:val="0"/>
          <w:strike w:val="0"/>
          <w:color w:val="000000"/>
          <w:spacing w:val="0"/>
          <w:sz w:val="18"/>
          <w:szCs w:val="18"/>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53C6F25E">
      <w:pPr>
        <w:pStyle w:val="143"/>
        <w:numPr>
          <w:ilvl w:val="0"/>
          <w:numId w:val="1"/>
        </w:numPr>
        <w:pBdr>
          <w:top w:val="single" w:color="000000" w:sz="4" w:space="0"/>
          <w:left w:val="single" w:color="000000" w:sz="4" w:space="0"/>
          <w:bottom w:val="single" w:color="000000" w:sz="4" w:space="0"/>
          <w:right w:val="single" w:color="000000" w:sz="4" w:space="0"/>
        </w:pBdr>
        <w:shd w:val="clear" w:color="auto" w:fill="E0E0E0"/>
        <w:tabs>
          <w:tab w:val="left" w:pos="566"/>
        </w:tabs>
        <w:spacing w:line="276" w:lineRule="auto"/>
        <w:ind w:left="0" w:right="0" w:firstLine="0"/>
        <w:jc w:val="center"/>
        <w:rPr>
          <w:rFonts w:ascii="Book Antiqua" w:hAnsi="Book Antiqua" w:cs="Book Antiqua"/>
          <w:b/>
          <w:i w:val="0"/>
          <w:caps w:val="0"/>
          <w:smallCaps w:val="0"/>
          <w:strike w:val="0"/>
          <w:color w:val="000000"/>
          <w:spacing w:val="0"/>
          <w:sz w:val="18"/>
          <w:szCs w:val="18"/>
          <w:u w:val="none"/>
          <w:lang w:val="pt-BR" w:bidi="ar-SA"/>
        </w:rPr>
      </w:pPr>
      <w:r>
        <w:rPr>
          <w:rFonts w:ascii="Book Antiqua" w:hAnsi="Book Antiqua" w:cs="Book Antiqua"/>
          <w:b/>
          <w:i w:val="0"/>
          <w:caps w:val="0"/>
          <w:smallCaps w:val="0"/>
          <w:strike w:val="0"/>
          <w:color w:val="000000"/>
          <w:spacing w:val="0"/>
          <w:sz w:val="18"/>
          <w:szCs w:val="18"/>
          <w:u w:val="none"/>
          <w:lang w:val="pt-BR" w:bidi="ar-SA"/>
        </w:rPr>
        <w:t>DO OBJETO</w:t>
      </w:r>
    </w:p>
    <w:p w14:paraId="7CBE647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660C9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 A presente licitação tem como objeto a </w:t>
      </w:r>
      <w:r>
        <w:rPr>
          <w:rFonts w:ascii="Book Antiqua" w:hAnsi="Book Antiqua" w:cs="Book Antiqua"/>
          <w:b/>
          <w:i w:val="0"/>
          <w:caps w:val="0"/>
          <w:smallCaps w:val="0"/>
          <w:strike w:val="0"/>
          <w:color w:val="000000"/>
          <w:spacing w:val="0"/>
          <w:sz w:val="18"/>
          <w:szCs w:val="18"/>
          <w:u w:val="none"/>
          <w:shd w:val="clear" w:color="auto" w:fill="FFFF00"/>
          <w:lang w:val="pt-BR" w:bidi="ar-SA"/>
        </w:rPr>
        <w:t>“CONTRATAÇÃO DE EMPRESA DE ENGENHARIA PARA IMPLANTAÇÃO DE PAVIMENTAÇÃO ASFÁLTICA EM TSD NA RODOVIA VICINAL CAMPO LIMPO, SUB TRECHO ENTRE MT- 483 COM EXTENSÃO DE 8,61 KM, NO MUNICÍPIO DE RONDONÓPOLIS-MT.”</w:t>
      </w:r>
    </w:p>
    <w:p w14:paraId="0FCA7A5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271276F">
      <w:pPr>
        <w:spacing w:line="276" w:lineRule="auto"/>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single"/>
          <w:lang w:val="pt-BR" w:bidi="hi-IN"/>
        </w:rPr>
        <w:t xml:space="preserve">2.1.1. </w:t>
      </w:r>
      <w:r>
        <w:rPr>
          <w:rFonts w:ascii="Book Antiqua" w:hAnsi="Book Antiqua" w:cs="Book Antiqua"/>
          <w:b w:val="0"/>
          <w:i w:val="0"/>
          <w:caps w:val="0"/>
          <w:smallCaps w:val="0"/>
          <w:strike w:val="0"/>
          <w:color w:val="000000"/>
          <w:spacing w:val="0"/>
          <w:sz w:val="18"/>
          <w:szCs w:val="18"/>
          <w:u w:val="single"/>
          <w:lang w:val="pt-BR" w:bidi="ar-SA"/>
        </w:rPr>
        <w:t>O detalhamento dos serviços e etapas da obra encontra-se descrito no Projeto Básico, nas planilhas orçamentárias e nos memoriais descritivos que integram o presente edital, devendo a execução respeitar rigorosamente as especificações técnicas, normas da ABNT, instruções do DNIT e demais legislações aplicáveis.</w:t>
      </w:r>
    </w:p>
    <w:p w14:paraId="6032E453">
      <w:pPr>
        <w:spacing w:line="276" w:lineRule="auto"/>
        <w:jc w:val="both"/>
        <w:rPr>
          <w:rFonts w:ascii="Liberation Serif" w:hAnsi="Liberation Serif" w:cs="Liberation Serif"/>
          <w:b w:val="0"/>
          <w:i w:val="0"/>
          <w:caps w:val="0"/>
          <w:smallCaps w:val="0"/>
          <w:strike w:val="0"/>
          <w:color w:val="000000"/>
          <w:spacing w:val="0"/>
          <w:sz w:val="24"/>
          <w:szCs w:val="24"/>
          <w:u w:val="none"/>
          <w:lang w:val="pt-BR" w:bidi="hi-IN"/>
        </w:rPr>
      </w:pPr>
    </w:p>
    <w:p w14:paraId="55B202B8">
      <w:pPr>
        <w:pStyle w:val="143"/>
        <w:spacing w:line="276" w:lineRule="auto"/>
        <w:jc w:val="both"/>
        <w:rPr>
          <w:rFonts w:ascii="Times New Roman" w:hAnsi="Times New Roman" w:cs="Times New Roman"/>
          <w:b w:val="0"/>
          <w:i w:val="0"/>
          <w:caps w:val="0"/>
          <w:smallCaps w:val="0"/>
          <w:strike w:val="0"/>
          <w:color w:val="000000"/>
          <w:spacing w:val="0"/>
          <w:sz w:val="20"/>
          <w:szCs w:val="20"/>
          <w:highlight w:val="none"/>
          <w:u w:val="none"/>
        </w:rPr>
      </w:pPr>
      <w:r>
        <w:rPr>
          <w:rFonts w:ascii="Book Antiqua" w:hAnsi="Book Antiqua" w:cs="Book Antiqua"/>
          <w:b w:val="0"/>
          <w:i w:val="0"/>
          <w:caps w:val="0"/>
          <w:smallCaps w:val="0"/>
          <w:strike w:val="0"/>
          <w:color w:val="000000"/>
          <w:spacing w:val="0"/>
          <w:sz w:val="18"/>
          <w:szCs w:val="18"/>
          <w:highlight w:val="none"/>
          <w:u w:val="none"/>
          <w:lang w:val="pt-BR" w:bidi="ar-SA"/>
        </w:rPr>
        <w:t>2.2. O regime de execução do contrato será o de Empreitada por Preço Unitário, nos termos do art. 6º, inciso XXVIII, da Lei nº 14.133/2021, compreendendo a execução dos serviços conforme o Projeto Básico fornecido pela Administração, sendo o pagamento efetuado conforme as quantidades efetivamente executadas e atestadas pela fiscalização.</w:t>
      </w:r>
    </w:p>
    <w:p w14:paraId="3E5AFF2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8724DBC">
      <w:pPr>
        <w:pStyle w:val="146"/>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3. DA DATA, HORA E LOCAL DE APRESENTAÇÃO DA DOCUMENTAÇÃO E DA PROPOSTA.</w:t>
      </w:r>
    </w:p>
    <w:p w14:paraId="33BF10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3DA977E">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i w:val="0"/>
          <w:caps w:val="0"/>
          <w:smallCaps w:val="0"/>
          <w:strike w:val="0"/>
          <w:color w:val="000000"/>
          <w:spacing w:val="0"/>
          <w:sz w:val="18"/>
          <w:szCs w:val="18"/>
          <w:u w:val="none"/>
          <w:lang w:val="pt-BR" w:bidi="hi-IN"/>
        </w:rPr>
        <w:t xml:space="preserve">3.1. Os fornecedores interessados na presente Concorrência deverão cadastrar, na Plataforma Eletrônica disponível no site da BLL – Bolsa de Licitações e Leilões (www.bllcompras.com), a sua Proposta de Preços Eletrônica, bem como realizar o envio da Documentação de Habilitação prevista nos itens 6.2 a 6.7 deste Edital. </w:t>
      </w:r>
      <w:r>
        <w:rPr>
          <w:rFonts w:ascii="Book Antiqua" w:hAnsi="Book Antiqua" w:cs="Book Antiqua"/>
          <w:b/>
          <w:i w:val="0"/>
          <w:caps w:val="0"/>
          <w:smallCaps w:val="0"/>
          <w:strike w:val="0"/>
          <w:color w:val="000000"/>
          <w:spacing w:val="0"/>
          <w:sz w:val="18"/>
          <w:szCs w:val="18"/>
          <w:u w:val="none"/>
          <w:shd w:val="clear" w:color="auto" w:fill="FFFF00"/>
          <w:lang w:val="pt-BR" w:bidi="hi-IN"/>
        </w:rPr>
        <w:t>O cadastramento e o envio deverão ser efetuados  até as 14h30min (horário de Brasília) do dia </w:t>
      </w:r>
      <w:r>
        <w:rPr>
          <w:rFonts w:hint="default" w:ascii="Book Antiqua" w:hAnsi="Book Antiqua" w:cs="Book Antiqua"/>
          <w:b/>
          <w:i w:val="0"/>
          <w:caps w:val="0"/>
          <w:smallCaps w:val="0"/>
          <w:strike w:val="0"/>
          <w:color w:val="000000"/>
          <w:spacing w:val="0"/>
          <w:sz w:val="18"/>
          <w:szCs w:val="18"/>
          <w:u w:val="none"/>
          <w:shd w:val="clear" w:color="auto" w:fill="FFFF00"/>
          <w:lang w:val="pt-BR" w:bidi="hi-IN"/>
        </w:rPr>
        <w:t>17</w:t>
      </w:r>
      <w:r>
        <w:rPr>
          <w:rFonts w:ascii="Book Antiqua" w:hAnsi="Book Antiqua" w:cs="Book Antiqua"/>
          <w:b/>
          <w:i w:val="0"/>
          <w:caps w:val="0"/>
          <w:smallCaps w:val="0"/>
          <w:strike w:val="0"/>
          <w:color w:val="000000"/>
          <w:spacing w:val="0"/>
          <w:sz w:val="18"/>
          <w:szCs w:val="18"/>
          <w:u w:val="none"/>
          <w:shd w:val="clear" w:color="auto" w:fill="FFFF00"/>
          <w:lang w:val="pt-BR" w:bidi="hi-IN"/>
        </w:rPr>
        <w:t>/0</w:t>
      </w:r>
      <w:r>
        <w:rPr>
          <w:rFonts w:hint="default" w:ascii="Book Antiqua" w:hAnsi="Book Antiqua" w:cs="Book Antiqua"/>
          <w:b/>
          <w:i w:val="0"/>
          <w:caps w:val="0"/>
          <w:smallCaps w:val="0"/>
          <w:strike w:val="0"/>
          <w:color w:val="000000"/>
          <w:spacing w:val="0"/>
          <w:sz w:val="18"/>
          <w:szCs w:val="18"/>
          <w:u w:val="none"/>
          <w:shd w:val="clear" w:color="auto" w:fill="FFFF00"/>
          <w:lang w:val="pt-BR" w:bidi="hi-IN"/>
        </w:rPr>
        <w:t>8</w:t>
      </w:r>
      <w:r>
        <w:rPr>
          <w:rFonts w:ascii="Book Antiqua" w:hAnsi="Book Antiqua" w:cs="Book Antiqua"/>
          <w:b/>
          <w:i w:val="0"/>
          <w:caps w:val="0"/>
          <w:smallCaps w:val="0"/>
          <w:strike w:val="0"/>
          <w:color w:val="000000"/>
          <w:spacing w:val="0"/>
          <w:sz w:val="18"/>
          <w:szCs w:val="18"/>
          <w:u w:val="none"/>
          <w:shd w:val="clear" w:color="auto" w:fill="FFFF00"/>
          <w:lang w:val="pt-BR" w:bidi="hi-IN"/>
        </w:rPr>
        <w:t xml:space="preserve">/2026 </w:t>
      </w:r>
      <w:r>
        <w:rPr>
          <w:rFonts w:ascii="Book Antiqua" w:hAnsi="Book Antiqua" w:cs="Book Antiqua"/>
          <w:b w:val="0"/>
          <w:i w:val="0"/>
          <w:caps w:val="0"/>
          <w:smallCaps w:val="0"/>
          <w:strike w:val="0"/>
          <w:color w:val="000000"/>
          <w:spacing w:val="0"/>
          <w:sz w:val="18"/>
          <w:szCs w:val="18"/>
          <w:u w:val="none"/>
          <w:lang w:val="pt-BR" w:bidi="hi-IN"/>
        </w:rPr>
        <w:t>cumprindo o prazo mínimo de 10(dez) dias úteis estipulado no Art. 55º da Lei 14.133 de 2021</w:t>
      </w:r>
      <w:r>
        <w:rPr>
          <w:rFonts w:ascii="Book Antiqua" w:hAnsi="Book Antiqua" w:cs="Book Antiqua"/>
          <w:b/>
          <w:i w:val="0"/>
          <w:caps w:val="0"/>
          <w:smallCaps w:val="0"/>
          <w:strike w:val="0"/>
          <w:color w:val="000000"/>
          <w:spacing w:val="0"/>
          <w:sz w:val="18"/>
          <w:szCs w:val="18"/>
          <w:u w:val="none"/>
          <w:shd w:val="clear" w:color="auto" w:fill="FFFF00"/>
          <w:lang w:val="pt-BR" w:bidi="hi-IN"/>
        </w:rPr>
        <w:t>.</w:t>
      </w:r>
    </w:p>
    <w:p w14:paraId="3BD24EB5">
      <w:pPr>
        <w:pStyle w:val="210"/>
        <w:jc w:val="both"/>
        <w:rPr>
          <w:rFonts w:ascii="Liberation Serif" w:hAnsi="Liberation Serif" w:cs="Liberation Serif"/>
          <w:b w:val="0"/>
          <w:i w:val="0"/>
          <w:caps w:val="0"/>
          <w:smallCaps w:val="0"/>
          <w:strike w:val="0"/>
          <w:color w:val="000000"/>
          <w:spacing w:val="0"/>
          <w:sz w:val="24"/>
          <w:szCs w:val="24"/>
          <w:u w:val="none"/>
          <w:shd w:val="clear" w:color="auto" w:fill="FFFF00"/>
          <w:lang w:val="pt-BR" w:bidi="hi-IN"/>
        </w:rPr>
      </w:pPr>
    </w:p>
    <w:p w14:paraId="401B45F9">
      <w:pPr>
        <w:pStyle w:val="210"/>
        <w:jc w:val="both"/>
        <w:rPr>
          <w:rFonts w:ascii="Liberation Serif" w:hAnsi="Liberation Serif" w:cs="Liberation Serif"/>
          <w:b w:val="0"/>
          <w:i w:val="0"/>
          <w:caps w:val="0"/>
          <w:smallCaps w:val="0"/>
          <w:strike w:val="0"/>
          <w:color w:val="000000"/>
          <w:spacing w:val="0"/>
          <w:sz w:val="24"/>
          <w:szCs w:val="24"/>
          <w:u w:val="none"/>
          <w:shd w:val="clear" w:color="auto" w:fill="FFFF00"/>
          <w:lang w:val="pt-BR" w:bidi="hi-IN"/>
        </w:rPr>
      </w:pPr>
      <w:r>
        <w:rPr>
          <w:rFonts w:ascii="Book Antiqua" w:hAnsi="Book Antiqua" w:cs="Book Antiqua"/>
          <w:b/>
          <w:i w:val="0"/>
          <w:caps w:val="0"/>
          <w:smallCaps w:val="0"/>
          <w:strike w:val="0"/>
          <w:color w:val="000000"/>
          <w:spacing w:val="0"/>
          <w:sz w:val="18"/>
          <w:szCs w:val="18"/>
          <w:u w:val="none"/>
          <w:shd w:val="clear" w:color="auto" w:fill="FFFF00"/>
          <w:lang w:val="pt-BR" w:bidi="hi-IN"/>
        </w:rPr>
        <w:t xml:space="preserve">3.1.1. O início da sessão de disputa das propostas ocorrerá às 15h00 do dia </w:t>
      </w:r>
      <w:r>
        <w:rPr>
          <w:rFonts w:hint="default" w:ascii="Book Antiqua" w:hAnsi="Book Antiqua" w:cs="Book Antiqua"/>
          <w:b/>
          <w:i w:val="0"/>
          <w:caps w:val="0"/>
          <w:smallCaps w:val="0"/>
          <w:strike w:val="0"/>
          <w:color w:val="000000"/>
          <w:spacing w:val="0"/>
          <w:sz w:val="18"/>
          <w:szCs w:val="18"/>
          <w:u w:val="none"/>
          <w:shd w:val="clear" w:color="auto" w:fill="FFFF00"/>
          <w:lang w:val="pt-BR" w:bidi="hi-IN"/>
        </w:rPr>
        <w:t>17</w:t>
      </w:r>
      <w:r>
        <w:rPr>
          <w:rFonts w:ascii="Book Antiqua" w:hAnsi="Book Antiqua" w:cs="Book Antiqua"/>
          <w:b/>
          <w:i w:val="0"/>
          <w:caps w:val="0"/>
          <w:smallCaps w:val="0"/>
          <w:strike w:val="0"/>
          <w:color w:val="000000"/>
          <w:spacing w:val="0"/>
          <w:sz w:val="18"/>
          <w:szCs w:val="18"/>
          <w:u w:val="none"/>
          <w:shd w:val="clear" w:color="auto" w:fill="FFFF00"/>
          <w:lang w:val="pt-BR" w:bidi="hi-IN"/>
        </w:rPr>
        <w:t>/0</w:t>
      </w:r>
      <w:r>
        <w:rPr>
          <w:rFonts w:hint="default" w:ascii="Book Antiqua" w:hAnsi="Book Antiqua" w:cs="Book Antiqua"/>
          <w:b/>
          <w:i w:val="0"/>
          <w:caps w:val="0"/>
          <w:smallCaps w:val="0"/>
          <w:strike w:val="0"/>
          <w:color w:val="000000"/>
          <w:spacing w:val="0"/>
          <w:sz w:val="18"/>
          <w:szCs w:val="18"/>
          <w:u w:val="none"/>
          <w:shd w:val="clear" w:color="auto" w:fill="FFFF00"/>
          <w:lang w:val="pt-BR" w:bidi="hi-IN"/>
        </w:rPr>
        <w:t>8</w:t>
      </w:r>
      <w:r>
        <w:rPr>
          <w:rFonts w:ascii="Book Antiqua" w:hAnsi="Book Antiqua" w:cs="Book Antiqua"/>
          <w:b/>
          <w:i w:val="0"/>
          <w:caps w:val="0"/>
          <w:smallCaps w:val="0"/>
          <w:strike w:val="0"/>
          <w:color w:val="000000"/>
          <w:spacing w:val="0"/>
          <w:sz w:val="18"/>
          <w:szCs w:val="18"/>
          <w:u w:val="none"/>
          <w:shd w:val="clear" w:color="auto" w:fill="FFFF00"/>
          <w:lang w:val="pt-BR" w:bidi="hi-IN"/>
        </w:rPr>
        <w:t>/2026 (horário de Brasília).</w:t>
      </w:r>
    </w:p>
    <w:p w14:paraId="63063783">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p>
    <w:p w14:paraId="7DD117F7">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t>3.2 – A PREFEITURA MUNICIPAL DE RONDONÓPOLIS/MT e o Agente de Contratação não se responsabilizará por documentação e proposta que porventura não serem cadastradas como determinados no item 3.1 deste Edital.</w:t>
      </w:r>
    </w:p>
    <w:p w14:paraId="5DF1DBEB">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p>
    <w:p w14:paraId="3BC810F7">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t>3.3– Não havendo expediente na data marcada, será definida nova data para abertura da sessão, a ser publicada e divulgada nos portais e sítios oficiais da Prefeitura Municipal de Rondonópolis.</w:t>
      </w:r>
    </w:p>
    <w:p w14:paraId="66C79B71">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p>
    <w:p w14:paraId="33BAEDC6">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t>3.4 – Não serão aceitos e considerados documentos apresentados em desconformidade as condições definidas neste Edital.</w:t>
      </w:r>
    </w:p>
    <w:p w14:paraId="249C271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DD57F9">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4. DAS CONDIÇÕES DE PARTICIPAÇÃO</w:t>
      </w:r>
    </w:p>
    <w:p w14:paraId="58C7DD3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8D3E4A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4.1. Somente poderão participar desta licitação os interessados que atenderem a todas as exigências constantes deste Edital e seus anexos, bem como quanto à documentação mencionada nos artigos 62 a 65 da Lei de Licitações e Contratos Administrativos nº 14.133, de 1º de abril de 2021, e que o objeto do contrato social seja </w:t>
      </w:r>
      <w:r>
        <w:rPr>
          <w:rFonts w:ascii="Book Antiqua" w:hAnsi="Book Antiqua" w:cs="Book Antiqua"/>
          <w:b w:val="0"/>
          <w:i w:val="0"/>
          <w:caps w:val="0"/>
          <w:smallCaps w:val="0"/>
          <w:strike w:val="0"/>
          <w:color w:val="000000"/>
          <w:spacing w:val="0"/>
          <w:sz w:val="18"/>
          <w:szCs w:val="18"/>
          <w:u w:val="none"/>
          <w:shd w:val="clear" w:color="auto" w:fill="FFFFFF"/>
          <w:lang w:val="pt-BR" w:bidi="ar-SA"/>
        </w:rPr>
        <w:t>compatível com o objeto da licitação.</w:t>
      </w:r>
    </w:p>
    <w:p w14:paraId="732146D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8476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4.2. </w:t>
      </w:r>
      <w:r>
        <w:rPr>
          <w:rFonts w:ascii="Book Antiqua" w:hAnsi="Book Antiqua" w:cs="Book Antiqua"/>
          <w:b w:val="0"/>
          <w:i w:val="0"/>
          <w:caps w:val="0"/>
          <w:smallCaps w:val="0"/>
          <w:strike w:val="0"/>
          <w:color w:val="000000"/>
          <w:spacing w:val="0"/>
          <w:sz w:val="18"/>
          <w:szCs w:val="18"/>
          <w:u w:val="single"/>
          <w:lang w:val="pt-BR" w:bidi="ar-SA"/>
        </w:rPr>
        <w:t>Não poderão participar desta licitação</w:t>
      </w:r>
      <w:r>
        <w:rPr>
          <w:rFonts w:ascii="Book Antiqua" w:hAnsi="Book Antiqua" w:cs="Book Antiqua"/>
          <w:b w:val="0"/>
          <w:i w:val="0"/>
          <w:caps w:val="0"/>
          <w:smallCaps w:val="0"/>
          <w:strike w:val="0"/>
          <w:color w:val="000000"/>
          <w:spacing w:val="0"/>
          <w:sz w:val="18"/>
          <w:szCs w:val="18"/>
          <w:u w:val="none"/>
          <w:lang w:val="pt-BR" w:bidi="ar-SA"/>
        </w:rPr>
        <w:t>:</w:t>
      </w:r>
    </w:p>
    <w:p w14:paraId="5B0DE20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405191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4.2.1. Empresas sob processo de falência;</w:t>
      </w:r>
    </w:p>
    <w:p w14:paraId="54DC0E5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DA4CC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4.2.2. E</w:t>
      </w:r>
      <w:bookmarkStart w:id="0" w:name="_Hlk110935937"/>
      <w:r>
        <w:rPr>
          <w:rFonts w:ascii="Book Antiqua" w:hAnsi="Book Antiqua" w:cs="Book Antiqua"/>
          <w:b w:val="0"/>
          <w:i w:val="0"/>
          <w:caps w:val="0"/>
          <w:smallCaps w:val="0"/>
          <w:strike w:val="0"/>
          <w:color w:val="000000"/>
          <w:spacing w:val="0"/>
          <w:sz w:val="18"/>
          <w:szCs w:val="18"/>
          <w:u w:val="none"/>
          <w:shd w:val="clear" w:color="auto" w:fill="FFFFFF"/>
          <w:lang w:val="pt-BR" w:bidi="ar-SA"/>
        </w:rPr>
        <w:t>mpresa, isoladamente ou em consórcio, responsável pela elaboração do Estudo Técnico Preliminar – ETP, Projeto Básico ou da qual o autor do projeto seja dirigente, gerente, acionista ou detentor de mais de 5% (cinco por cento) do capital com direito a voto ou controlador, responsável técnico ou subcontratado</w:t>
      </w:r>
      <w:bookmarkEnd w:id="0"/>
      <w:r>
        <w:rPr>
          <w:rFonts w:ascii="Book Antiqua" w:hAnsi="Book Antiqua" w:cs="Book Antiqua"/>
          <w:b w:val="0"/>
          <w:i w:val="0"/>
          <w:caps w:val="0"/>
          <w:smallCaps w:val="0"/>
          <w:strike w:val="0"/>
          <w:color w:val="000000"/>
          <w:spacing w:val="0"/>
          <w:sz w:val="18"/>
          <w:szCs w:val="18"/>
          <w:u w:val="none"/>
          <w:shd w:val="clear" w:color="auto" w:fill="FFFFFF"/>
          <w:lang w:val="pt-BR" w:bidi="ar-SA"/>
        </w:rPr>
        <w:t>;</w:t>
      </w:r>
    </w:p>
    <w:p w14:paraId="2B435A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64624E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4.2.3. Servidor ou dirigente de órgão ou entidade contratante.</w:t>
      </w:r>
    </w:p>
    <w:p w14:paraId="279DC99D">
      <w:pPr>
        <w:pStyle w:val="194"/>
        <w:spacing w:line="276" w:lineRule="auto"/>
        <w:jc w:val="both"/>
        <w:rPr>
          <w:rFonts w:ascii="Garamond" w:hAnsi="Garamond" w:cs="Garamond"/>
          <w:b w:val="0"/>
          <w:i w:val="0"/>
          <w:caps w:val="0"/>
          <w:smallCaps w:val="0"/>
          <w:strike w:val="0"/>
          <w:color w:val="000000"/>
          <w:spacing w:val="0"/>
          <w:sz w:val="24"/>
          <w:szCs w:val="24"/>
          <w:u w:val="none"/>
          <w:lang w:val="pt-BR" w:bidi="ar-SA"/>
        </w:rPr>
      </w:pPr>
    </w:p>
    <w:p w14:paraId="59BEB8EF">
      <w:pPr>
        <w:pStyle w:val="194"/>
        <w:spacing w:line="276" w:lineRule="auto"/>
        <w:jc w:val="both"/>
        <w:rPr>
          <w:rFonts w:ascii="Garamond" w:hAnsi="Garamond" w:cs="Garamond"/>
          <w:b w:val="0"/>
          <w:i w:val="0"/>
          <w:caps w:val="0"/>
          <w:smallCaps w:val="0"/>
          <w:strike w:val="0"/>
          <w:color w:val="000000"/>
          <w:spacing w:val="0"/>
          <w:sz w:val="24"/>
          <w:szCs w:val="24"/>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4.2.4. Empresas que, na data designada para a apresentação da documentação e das propostas, estejam suspensas de participar de licitações e/ou impedidas de contratar com a Administração, ou tenham sido declaradas inidôneas por qualquer órgão da Administração Pública direta ou indireta, federal, estadual, municipal ou do Distrito Federal, não tendo sido ainda reabilitadas.</w:t>
      </w:r>
    </w:p>
    <w:p w14:paraId="45AAA8FD">
      <w:pPr>
        <w:pStyle w:val="194"/>
        <w:spacing w:line="276" w:lineRule="auto"/>
        <w:jc w:val="both"/>
        <w:rPr>
          <w:rFonts w:ascii="Garamond" w:hAnsi="Garamond" w:cs="Garamond"/>
          <w:b w:val="0"/>
          <w:i w:val="0"/>
          <w:caps w:val="0"/>
          <w:smallCaps w:val="0"/>
          <w:strike w:val="0"/>
          <w:color w:val="000000"/>
          <w:spacing w:val="0"/>
          <w:sz w:val="24"/>
          <w:szCs w:val="24"/>
          <w:u w:val="none"/>
          <w:lang w:val="pt-BR" w:bidi="ar-SA"/>
        </w:rPr>
      </w:pPr>
    </w:p>
    <w:p w14:paraId="46FA047E">
      <w:pPr>
        <w:pStyle w:val="194"/>
        <w:spacing w:line="276" w:lineRule="auto"/>
        <w:jc w:val="both"/>
        <w:rPr>
          <w:rFonts w:ascii="Garamond" w:hAnsi="Garamond" w:cs="Garamond"/>
          <w:b w:val="0"/>
          <w:i w:val="0"/>
          <w:caps w:val="0"/>
          <w:smallCaps w:val="0"/>
          <w:strike w:val="0"/>
          <w:color w:val="000000"/>
          <w:spacing w:val="0"/>
          <w:sz w:val="24"/>
          <w:szCs w:val="24"/>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4.2.5. Empresas controladoras, controladas ou coligadas, nos termos da Lei nº 6.404, de 15 de dezembro de 1976, concorrendo entre si.</w:t>
      </w:r>
    </w:p>
    <w:p w14:paraId="6512E92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74C90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4.3. Toda e qualquer documentação emitida pela empresa deverá ser datada e assinada por seus(s) representante(s) legal (is), devidamente qualificado(s) e comprovado(s).</w:t>
      </w:r>
    </w:p>
    <w:p w14:paraId="1F563DA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01766E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4.4. Os documentos necessários à habilitação poderão ser apresentados em original, cópia autenticada em cartório competente, por publicação em órgão da imprensa oficial </w:t>
      </w:r>
      <w:r>
        <w:rPr>
          <w:rFonts w:ascii="Book Antiqua" w:hAnsi="Book Antiqua" w:cs="Book Antiqua"/>
          <w:b/>
          <w:i w:val="0"/>
          <w:caps w:val="0"/>
          <w:smallCaps w:val="0"/>
          <w:strike w:val="0"/>
          <w:color w:val="000000"/>
          <w:spacing w:val="0"/>
          <w:sz w:val="18"/>
          <w:szCs w:val="18"/>
          <w:u w:val="none"/>
          <w:lang w:val="pt-BR" w:bidi="ar-SA"/>
        </w:rPr>
        <w:t>ou por cópias que possam ser conferidas pelo Agente de Contratação.</w:t>
      </w:r>
    </w:p>
    <w:p w14:paraId="76DBE9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263711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4.4.1. O Agente de Contratação poderá verificar a autenticidades apresentados como cópia de documentos originais, exceto aqueles natos digitais que sua autenticidade possa ser validada pelos sítios oficiais ou aqueles autenticados em cartório.</w:t>
      </w:r>
    </w:p>
    <w:p w14:paraId="514B128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5433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4.4.2. Os documentos assinados digitalmente deverão estar acompanhados da devida cédula de autenticidade ou outro documento equivalente que permita a conferência de autenticidade por parte do Agente de Contratação.</w:t>
      </w:r>
    </w:p>
    <w:p w14:paraId="0BF85C4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7307CD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4.5. A avaliação prévia do local de execução dos serviços é imprescindível para o conhecimento pleno das condições e peculiaridades do objeto a ser contratado, sendo assegurado ao interessado o direito de realização da vistoria prévia; e para o correto dimensionamento e elaboração de sua proposta, a LICITANTE poderá realizar a vistoria nos trechos de execução dos serviços, em períodos a serem definidos pela Administração Pública Municipal, sendo acompanhadas por um servidor da mesma unidade que certificará a visita, expedindo o Atestado de Visita, que contenha as informações técnicas das obras (art. 63 da Lei n 14.133/2021).</w:t>
      </w:r>
    </w:p>
    <w:p w14:paraId="6A163F2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85043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4.5.1. O prazo para a visita ao local onde será realizado o serviço, objeto deste edital, iniciar-se-á no primeiro dia útil seguinte a publicação do edital, estendendo-se até o dia útil anterior à data prevista para a abertura da sessão. Para a vistoria o representante legal deverá estar devidamente identificado, apresentando documento de identificação civil e documento expedido pela empresa, comprovando sua habilitação para a realização da vistoria.</w:t>
      </w:r>
    </w:p>
    <w:p w14:paraId="58AAE16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26B51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4.5.2. Cumpre mencionar que não existe a obrigatoriedade da vistoria e caso a LICITANTE não queira participar da visita, deverá apresentar, em substituição ao atestado de visita, uma declaração forma assinada pelo responsável técnico, sob penalidade da lei, informando que tem pleno conhecimento das condições e peculiaridades inerentes à natureza dos trabalhos, assumindo portanto, total responsabilidade por esse fato e que não utilizará deste para efetuar quaisquer questionamentos futuros que possam ensejar avenças técnicas ou financeiras com o Município de Rondonópolis, qual será juntada a documentação de habilitação, nos termos do inciso VI do Art. 67 da Lei n 14.133/2021.</w:t>
      </w:r>
    </w:p>
    <w:p w14:paraId="65A8368B">
      <w:pPr>
        <w:pStyle w:val="143"/>
        <w:spacing w:line="276" w:lineRule="auto"/>
        <w:ind w:left="567"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5FFC4D7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4.5.3. Caso a licitante deixe de realizar a vistoria técnica </w:t>
      </w:r>
      <w:r>
        <w:rPr>
          <w:rFonts w:ascii="Book Antiqua" w:hAnsi="Book Antiqua" w:cs="Book Antiqua"/>
          <w:b w:val="0"/>
          <w:i w:val="0"/>
          <w:caps w:val="0"/>
          <w:smallCaps w:val="0"/>
          <w:strike w:val="0"/>
          <w:color w:val="000000"/>
          <w:spacing w:val="0"/>
          <w:sz w:val="18"/>
          <w:szCs w:val="18"/>
          <w:u w:val="none"/>
          <w:shd w:val="clear" w:color="auto" w:fill="FFFF00"/>
          <w:lang w:val="pt-BR" w:bidi="ar-SA"/>
        </w:rPr>
        <w:t>(item 4.5)</w:t>
      </w:r>
      <w:r>
        <w:rPr>
          <w:rFonts w:ascii="Book Antiqua" w:hAnsi="Book Antiqua" w:cs="Book Antiqua"/>
          <w:b w:val="0"/>
          <w:i w:val="0"/>
          <w:caps w:val="0"/>
          <w:smallCaps w:val="0"/>
          <w:strike w:val="0"/>
          <w:color w:val="000000"/>
          <w:spacing w:val="0"/>
          <w:sz w:val="18"/>
          <w:szCs w:val="18"/>
          <w:u w:val="none"/>
          <w:lang w:val="pt-BR" w:bidi="ar-SA"/>
        </w:rPr>
        <w:t xml:space="preserve">; ou, apresente ou não a declaração de declínio de visita técnica nos termos do anexo VII </w:t>
      </w:r>
      <w:r>
        <w:rPr>
          <w:rFonts w:ascii="Book Antiqua" w:hAnsi="Book Antiqua" w:cs="Book Antiqua"/>
          <w:b w:val="0"/>
          <w:i w:val="0"/>
          <w:caps w:val="0"/>
          <w:smallCaps w:val="0"/>
          <w:strike w:val="0"/>
          <w:color w:val="000000"/>
          <w:spacing w:val="0"/>
          <w:sz w:val="18"/>
          <w:szCs w:val="18"/>
          <w:u w:val="none"/>
          <w:shd w:val="clear" w:color="auto" w:fill="FFFF00"/>
          <w:lang w:val="pt-BR" w:bidi="ar-SA"/>
        </w:rPr>
        <w:t>(item 4.5.2),</w:t>
      </w:r>
      <w:r>
        <w:rPr>
          <w:rFonts w:ascii="Book Antiqua" w:hAnsi="Book Antiqua" w:cs="Book Antiqua"/>
          <w:b w:val="0"/>
          <w:i w:val="0"/>
          <w:caps w:val="0"/>
          <w:smallCaps w:val="0"/>
          <w:strike w:val="0"/>
          <w:color w:val="000000"/>
          <w:spacing w:val="0"/>
          <w:sz w:val="18"/>
          <w:szCs w:val="18"/>
          <w:u w:val="none"/>
          <w:lang w:val="pt-BR" w:bidi="ar-SA"/>
        </w:rPr>
        <w:t xml:space="preserve"> a Prefeitura Municipal de Rondonópolis-MT restará isenta de qualquer responsabilidade decorrente do desconhecimento da licitante relativamente às condições físicas do local da execução do serviço.</w:t>
      </w:r>
    </w:p>
    <w:p w14:paraId="1759F7E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6018A2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4.6. O Agente de Contratação verificará o eventual descumprimento das condições de participação, especialmente quanto à existência de sanção que impeça a participação no certame ou a futura contratação, mediante a consulta aos seguintes cadastros:</w:t>
      </w:r>
    </w:p>
    <w:p w14:paraId="72245C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50250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Cadastro Nacional de Empresas Inidôneas e Suspensas – CEIS, mantido pela Controladoria Geral da União – (</w:t>
      </w:r>
      <w:r>
        <w:fldChar w:fldCharType="begin"/>
      </w:r>
      <w:r>
        <w:instrText xml:space="preserve"> HYPERLINK \l "ttp://www.portaldatransparencia.gov.br/ceis" \o "#ttp://www.portaldatransparencia.gov.br/ceis"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www.portaldatransparencia.gov.br/ceis</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155BDB6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58794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 Cadastro Nacional de Condenações Cíveis por Atos de Improbidade Administrativa, mantido pelo Conselho Nacional de Justiça – (</w:t>
      </w:r>
      <w:r>
        <w:fldChar w:fldCharType="begin"/>
      </w:r>
      <w:r>
        <w:instrText xml:space="preserve"> HYPERLINK \l "ttp://www.cnj.jus.br/improbidade_adm/consultar_requerido.php" \o "#ttp://www.cnj.jus.br/improbidade_adm/consultar_requerido.php"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www.cnj.jus.br/improbidade_adm/consultar_requerido.php</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72BB12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E5BFB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 Lista de Inidôneos, mantida pelo Tribunal de Contas da União – TCU – (</w:t>
      </w:r>
      <w:r>
        <w:fldChar w:fldCharType="begin"/>
      </w:r>
      <w:r>
        <w:instrText xml:space="preserve"> HYPERLINK \l "ttps://certidoesapf.apps.tcu.gov.br/" \o "#ttps://certidoesapf.apps.tcu.gov.br/"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https://certidoesapf.apps.tcu.gov.br/</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178FDA2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E19F6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4.7. Não serão admitidos atestados de responsabilidade técnica de profissionais que, na forma de regulamento, tenham dado causa à aplicação das sanções previstas nos incisos III e IV do caput do art. 156, da Lei 14.133 de 2021 em decorrência de orientação proposta, de prescrição técnica ou de qualquer ato profissional de sua responsabilidade.</w:t>
      </w:r>
    </w:p>
    <w:p w14:paraId="57EDCD8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D7A6B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4.8. Será admitida a participação de consórcios, nos termos do art. 15 da Lei nº 14.133/2021, observadas as condições estabelecidas no Projeto Básico e anexo a este edital.</w:t>
      </w:r>
    </w:p>
    <w:p w14:paraId="0813BA4D">
      <w:pPr>
        <w:pStyle w:val="213"/>
        <w:tabs>
          <w:tab w:val="left" w:pos="1700"/>
        </w:tabs>
        <w:spacing w:line="276" w:lineRule="auto"/>
        <w:jc w:val="both"/>
        <w:rPr>
          <w:rFonts w:ascii="Liberation Serif" w:hAnsi="Liberation Serif" w:cs="Liberation Serif"/>
          <w:b w:val="0"/>
          <w:i w:val="0"/>
          <w:caps w:val="0"/>
          <w:smallCaps w:val="0"/>
          <w:strike w:val="0"/>
          <w:color w:val="000000"/>
          <w:spacing w:val="0"/>
          <w:sz w:val="24"/>
          <w:szCs w:val="24"/>
          <w:u w:val="none"/>
          <w:shd w:val="clear" w:color="auto" w:fill="FFFF00"/>
          <w:lang w:val="pt-PT" w:bidi="hi-IN"/>
        </w:rPr>
      </w:pPr>
    </w:p>
    <w:p w14:paraId="2D7C7D74">
      <w:pPr>
        <w:pStyle w:val="213"/>
        <w:tabs>
          <w:tab w:val="left" w:pos="1700"/>
        </w:tabs>
        <w:spacing w:line="276" w:lineRule="auto"/>
        <w:jc w:val="both"/>
        <w:rPr>
          <w:rFonts w:ascii="Liberation Serif" w:hAnsi="Liberation Serif" w:cs="Liberation Serif"/>
          <w:b w:val="0"/>
          <w:i w:val="0"/>
          <w:caps w:val="0"/>
          <w:smallCaps w:val="0"/>
          <w:strike w:val="0"/>
          <w:color w:val="000000"/>
          <w:spacing w:val="0"/>
          <w:sz w:val="24"/>
          <w:szCs w:val="24"/>
          <w:u w:val="none"/>
          <w:shd w:val="clear" w:color="auto" w:fill="FFFF00"/>
          <w:lang w:val="pt-PT" w:bidi="hi-IN"/>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4.9. Será permitida a participação de empresas estrangeiras, desde que observadas as disposições legais aplicáveis, em especial as previstas na Lei nº 14.133/2021. A participação de empresas estrangeiras visa ampliar a competitividade no certame, permitindo a oferta de propostas mais vantajosas à Administração Pública, tanto em termos de preço quanto de qualidade técnica, resultando em economia e execução de serviços com maior qualidade para a Contratante.</w:t>
      </w:r>
    </w:p>
    <w:p w14:paraId="0EFE9B34">
      <w:pPr>
        <w:pStyle w:val="213"/>
        <w:tabs>
          <w:tab w:val="left" w:pos="1700"/>
        </w:tabs>
        <w:spacing w:line="276" w:lineRule="auto"/>
        <w:jc w:val="both"/>
        <w:rPr>
          <w:rFonts w:ascii="Liberation Serif" w:hAnsi="Liberation Serif" w:cs="Liberation Serif"/>
          <w:b w:val="0"/>
          <w:i w:val="0"/>
          <w:caps w:val="0"/>
          <w:smallCaps w:val="0"/>
          <w:strike w:val="0"/>
          <w:color w:val="000000"/>
          <w:spacing w:val="0"/>
          <w:sz w:val="24"/>
          <w:szCs w:val="24"/>
          <w:u w:val="none"/>
          <w:shd w:val="clear" w:color="auto" w:fill="FFFF00"/>
          <w:lang w:val="pt-PT" w:bidi="hi-IN"/>
        </w:rPr>
      </w:pPr>
    </w:p>
    <w:p w14:paraId="0759E551">
      <w:pPr>
        <w:pStyle w:val="213"/>
        <w:tabs>
          <w:tab w:val="left" w:pos="1700"/>
        </w:tabs>
        <w:spacing w:line="276" w:lineRule="auto"/>
        <w:jc w:val="both"/>
        <w:rPr>
          <w:rFonts w:ascii="Liberation Serif" w:hAnsi="Liberation Serif" w:cs="Liberation Serif"/>
          <w:b w:val="0"/>
          <w:i w:val="0"/>
          <w:caps w:val="0"/>
          <w:smallCaps w:val="0"/>
          <w:strike w:val="0"/>
          <w:color w:val="000000"/>
          <w:spacing w:val="0"/>
          <w:sz w:val="24"/>
          <w:szCs w:val="24"/>
          <w:u w:val="none"/>
          <w:shd w:val="clear" w:color="auto" w:fill="FFFF00"/>
          <w:lang w:val="pt-PT" w:bidi="hi-IN"/>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4.10. A licitante deverá comprovar aptidão técnica para execução de obras de engenharia compatíveis em características, quantidades e prazos com o objeto desta licitação, mediante apresentação de atestado(s) de capacidade técnica devidamente registrado(s) no CREA, nos termos do art. 67 da Lei nº 14.133/2021, demonstrando experiência em serviços de pavimentação asfáltico e demais atividades correlatas previstas no Projeto Básico.</w:t>
      </w:r>
    </w:p>
    <w:p w14:paraId="5559F0B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F1F518D">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5. DO CREDENCIAMENTO</w:t>
      </w:r>
    </w:p>
    <w:p w14:paraId="20D5D754">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p>
    <w:p w14:paraId="6FEF987C">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t>5.1. Para participar da Concorrência Eletrônica ou apenas acompanhá-la, o interessado deverá acessar a página da internet www.bllcompras.com, onde se encontra o link para o “Acesso Identificado”. O licitante deverá possuir chave de identificação e senha pessoal e intransferível, obtidas junto à BLL – Bolsa de Licitações e Leilões, responsável pelo provimento da plataforma eletrônica.</w:t>
      </w:r>
    </w:p>
    <w:p w14:paraId="233320C6">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5.2. As propostas comerciais e os documentos de habilitação deverão ser cadastrados no sistema eletrônico até meia hora antes do horário estabelecido no preâmbulo deste Edital (horário de Brasília), por meio do endereço eletrônico www.bllcompras.com, no campo “Acesso Identificado”. O sistema permitirá o cadastro, substituição ou retirada de propostas até o limite do prazo estabelecido.</w:t>
      </w:r>
    </w:p>
    <w:p w14:paraId="094A12B0">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5.2.1. Eventuais dúvidas sobre o procedimento de credenciamento, obtenção de senha de acesso ou dificuldades técnicas durante o envio das propostas deverão ser tratadas diretamente com a BLL, pelos telefones (41) 3097-4600, 3097-4623, 3097-4646 ou 3148-9870, sendo de inteira responsabilidade do licitante a resolução de problemas de acesso ou operação do sistema.</w:t>
      </w:r>
    </w:p>
    <w:p w14:paraId="0BAC701E">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5.3. A chave de identificação e a senha poderão ser utilizadas em qualquer procedimento licitatório realizado por meio da plataforma BLL Compras, salvo em caso de cancelamento por solicitação do credenciado ou por iniciativa da própria BLL, devidamente justificada.</w:t>
      </w:r>
    </w:p>
    <w:p w14:paraId="1CD35BDA">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5.4. É de exclusiva responsabilidade do usuário o sigilo e uso da senha, bem como as transações realizadas no sistema, direta ou indiretamente. A Prefeitura Municipal de Rondonópolis-MT e/ou a BLL não se responsabilizam por eventuais danos decorrentes de uso indevido da senha, ainda que por terceiros.</w:t>
      </w:r>
    </w:p>
    <w:p w14:paraId="4DB8A4F8">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5.5. Como requisito para participação nesta Concorrência Eletrônica, o licitante deverá manifestar, em campo próprio do sistema BLL, que sua proposta atende integralmente às exigências do edital e que cumpre os requisitos de habilitação, ressalvadas as disposições aplicáveis às microempresas e empresas de pequeno porte, nos termos da Lei Complementar nº 123/2006, com as alterações da Lei Complementar nº 147/2014, quando for o caso;</w:t>
      </w:r>
    </w:p>
    <w:p w14:paraId="51C3A305">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br w:type="textWrapping"/>
      </w:r>
      <w:r>
        <w:rPr>
          <w:rFonts w:ascii="Book Antiqua" w:hAnsi="Book Antiqua" w:cs="Book Antiqua"/>
          <w:b w:val="0"/>
          <w:i w:val="0"/>
          <w:caps w:val="0"/>
          <w:smallCaps w:val="0"/>
          <w:strike w:val="0"/>
          <w:color w:val="000000"/>
          <w:spacing w:val="0"/>
          <w:sz w:val="18"/>
          <w:szCs w:val="18"/>
          <w:u w:val="none"/>
          <w:lang w:val="pt-BR" w:bidi="hi-IN"/>
        </w:rPr>
        <w:t>5.5.1. As microempresas (ME) e as empresas de pequeno porte (EPP) que desejarem usufruir dos benefícios previstos na Lei Complementar nº 123/2006, alterada pela Lei Complementar nº 147/2014, deverão, no ato do credenciamento, identificar-se expressamente no sistema eletrônico como “Microempresa”, “Empresa de Pequeno Porte” ou mediante suas respectivas abreviações “ME” ou “EPP”.É de responsabilidade exclusiva da licitante manter atualizado o seu cadastro junto à plataforma BLL, inclusive quanto ao enquadramento societário.</w:t>
      </w:r>
    </w:p>
    <w:p w14:paraId="0AC438EA">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p>
    <w:p w14:paraId="32AB4EDC">
      <w:pPr>
        <w:pStyle w:val="210"/>
        <w:jc w:val="both"/>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18"/>
          <w:szCs w:val="18"/>
          <w:u w:val="none"/>
          <w:lang w:val="pt-BR" w:bidi="hi-IN"/>
        </w:rPr>
        <w:t>5.5.2. É vedado a qualquer credenciado representar mais de uma empresa proponente no certame, exceto nos casos em que as representações se refiram a itens ou lotes distintos, devidamente justificados e aceitos pela equipe de Licitação.</w:t>
      </w:r>
    </w:p>
    <w:p w14:paraId="5B9C0AF9">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293F877E">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5.6 BENEFICIÁRIO DA LEI Nº 123/2006</w:t>
      </w:r>
    </w:p>
    <w:p w14:paraId="602502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A4B1448">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highlight w:val="none"/>
          <w:u w:val="none"/>
          <w:lang w:val="pt-BR"/>
          <w14:ligatures w14:val="none"/>
        </w:rPr>
      </w:pPr>
      <w:r>
        <w:rPr>
          <w:rFonts w:ascii="Book Antiqua" w:hAnsi="Book Antiqua" w:cs="Book Antiqua"/>
          <w:b w:val="0"/>
          <w:bCs w:val="0"/>
          <w:i w:val="0"/>
          <w:iCs w:val="0"/>
          <w:caps w:val="0"/>
          <w:smallCaps w:val="0"/>
          <w:strike w:val="0"/>
          <w:color w:val="000000"/>
          <w:spacing w:val="0"/>
          <w:sz w:val="18"/>
          <w:szCs w:val="18"/>
          <w:u w:val="none"/>
          <w:lang w:val="pt-BR"/>
        </w:rPr>
        <w:t>5.6.1. Aos licitantes enquadrados como Microempresas — ME e Empresas de Pequeno Porte — EPP, nos termos da Lei Complementar nº 123/2006, são assegurados, em regra, os benefícios e o tratamento diferenciado previstos nos arts. 42 a 49 da referida norma, observadas as limitações estabelecidas pela Lei nº 14.133/2021.</w:t>
      </w:r>
    </w:p>
    <w:p w14:paraId="3C0C28F9">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u w:val="none"/>
          <w14:ligatures w14:val="none"/>
        </w:rPr>
      </w:pPr>
    </w:p>
    <w:p w14:paraId="32554AAF">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highlight w:val="none"/>
          <w:u w:val="none"/>
          <w:lang w:val="pt-BR"/>
          <w14:ligatures w14:val="none"/>
        </w:rPr>
      </w:pPr>
      <w:r>
        <w:rPr>
          <w:rFonts w:ascii="Book Antiqua" w:hAnsi="Book Antiqua" w:cs="Book Antiqua"/>
          <w:b w:val="0"/>
          <w:bCs w:val="0"/>
          <w:i w:val="0"/>
          <w:iCs w:val="0"/>
          <w:caps w:val="0"/>
          <w:smallCaps w:val="0"/>
          <w:strike w:val="0"/>
          <w:color w:val="000000"/>
          <w:spacing w:val="0"/>
          <w:sz w:val="18"/>
          <w:szCs w:val="18"/>
          <w:u w:val="none"/>
          <w:lang w:val="pt-BR"/>
        </w:rPr>
        <w:t>5.6.2. Considerando que o presente certame tem por objeto a execução de obra/serviço de engenharia, cujo valor estimado é de R$ 18.229.513,68, superior à receita bruta máxima admitida para fins de enquadramento como Empresa de Pequeno Porte, não serão aplicados os benefícios previstos nos arts. 42 a 49 da Lei Complementar nº 123/2006, nos termos do art. 4º, §1º, inciso II, da Lei nº 14.133/2021.</w:t>
      </w:r>
    </w:p>
    <w:p w14:paraId="76F18CC7">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u w:val="none"/>
          <w14:ligatures w14:val="none"/>
        </w:rPr>
      </w:pPr>
    </w:p>
    <w:p w14:paraId="578EA23F">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highlight w:val="none"/>
          <w:u w:val="none"/>
          <w:lang w:val="pt-BR"/>
          <w14:ligatures w14:val="none"/>
        </w:rPr>
      </w:pPr>
      <w:r>
        <w:rPr>
          <w:rFonts w:ascii="Book Antiqua" w:hAnsi="Book Antiqua" w:cs="Book Antiqua"/>
          <w:b w:val="0"/>
          <w:bCs w:val="0"/>
          <w:i w:val="0"/>
          <w:iCs w:val="0"/>
          <w:caps w:val="0"/>
          <w:smallCaps w:val="0"/>
          <w:strike w:val="0"/>
          <w:color w:val="000000"/>
          <w:spacing w:val="0"/>
          <w:sz w:val="18"/>
          <w:szCs w:val="18"/>
          <w:u w:val="none"/>
          <w:lang w:val="pt-BR"/>
        </w:rPr>
        <w:t>5.6.3. A não aplicação do tratamento diferenciado não impede a participação de Microempresas — ME e Empresas de Pequeno Porte — EPP no certame, as quais poderão concorrer em igualdade de condições com as demais licitantes, desde que atendam integralmente às exigências de habilitação, qualificação técnica, qualificação econômico-financeira e demais condições previstas neste Edital.</w:t>
      </w:r>
    </w:p>
    <w:p w14:paraId="0E0900A3">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u w:val="none"/>
          <w14:ligatures w14:val="none"/>
        </w:rPr>
      </w:pPr>
    </w:p>
    <w:p w14:paraId="036FD7CD">
      <w:pPr>
        <w:pStyle w:val="146"/>
        <w:pBdr>
          <w:top w:val="none" w:color="000000" w:sz="0" w:space="0"/>
          <w:left w:val="none" w:color="000000" w:sz="0" w:space="0"/>
          <w:bottom w:val="none" w:color="000000" w:sz="0" w:space="0"/>
          <w:right w:val="none" w:color="000000" w:sz="0" w:space="0"/>
        </w:pBdr>
        <w:spacing w:line="276" w:lineRule="auto"/>
        <w:rPr>
          <w:rFonts w:ascii="Book Antiqua" w:hAnsi="Book Antiqua" w:cs="Book Antiqua"/>
          <w:b w:val="0"/>
          <w:bCs w:val="0"/>
          <w:i w:val="0"/>
          <w:caps w:val="0"/>
          <w:smallCaps w:val="0"/>
          <w:strike w:val="0"/>
          <w:color w:val="000000"/>
          <w:spacing w:val="0"/>
          <w:sz w:val="18"/>
          <w:szCs w:val="18"/>
          <w:u w:val="none"/>
          <w14:ligatures w14:val="none"/>
        </w:rPr>
      </w:pPr>
      <w:r>
        <w:rPr>
          <w:rFonts w:ascii="Book Antiqua" w:hAnsi="Book Antiqua" w:cs="Book Antiqua"/>
          <w:b w:val="0"/>
          <w:bCs w:val="0"/>
          <w:i w:val="0"/>
          <w:iCs w:val="0"/>
          <w:caps w:val="0"/>
          <w:smallCaps w:val="0"/>
          <w:strike w:val="0"/>
          <w:color w:val="000000"/>
          <w:spacing w:val="0"/>
          <w:sz w:val="18"/>
          <w:szCs w:val="18"/>
          <w:u w:val="none"/>
          <w:lang w:val="pt-BR"/>
        </w:rPr>
        <w:t>5.6.4. Ademais, em razão da natureza do objeto, da necessidade de execução coordenada e contínua, da indivisibilidade técnica da solução e da necessidade de preservação da responsabilidade integral pela execução contratual, não se mostra técnica ou economicamente recomendável o fracionamento artificial do objeto, a instituição de cota reservada ou a imposição de subcontratação obrigatória em favor de ME/EPP, sob pena de prejuízo ao conjunto ou complexo do objeto, nos termos do art. 49, inciso III, da Lei Complementar nº 123/2006.</w:t>
      </w:r>
    </w:p>
    <w:p w14:paraId="41F54575">
      <w:pPr>
        <w:pStyle w:val="146"/>
        <w:spacing w:line="276" w:lineRule="auto"/>
        <w:rPr>
          <w:rFonts w:ascii="Arial" w:hAnsi="Arial" w:cs="Arial"/>
          <w:b/>
          <w:bCs w:val="0"/>
          <w:i w:val="0"/>
          <w:caps w:val="0"/>
          <w:smallCaps w:val="0"/>
          <w:strike w:val="0"/>
          <w:color w:val="000000"/>
          <w:spacing w:val="0"/>
          <w:sz w:val="24"/>
          <w:szCs w:val="24"/>
          <w:u w:val="none"/>
          <w:lang w:val="pt-BR" w:bidi="ar-SA"/>
        </w:rPr>
      </w:pPr>
    </w:p>
    <w:p w14:paraId="3750C651">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6. DA APRESENTAÇÃO DAS PROPOSTAS DE PREÇOS e DOCUMENTOS DE HABILITAÇÃO</w:t>
      </w:r>
    </w:p>
    <w:p w14:paraId="5883558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1AFEEA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 Os licitantes deverão encaminhar, exclusivamente por meio do sistema eletrônico BLL (</w:t>
      </w:r>
      <w:r>
        <w:fldChar w:fldCharType="begin"/>
      </w:r>
      <w:r>
        <w:instrText xml:space="preserve"> HYPERLINK \l "ttp://www.bllcompras.com/" \o "#ttp://www.bllcompras.com/"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www.bllcompras.com</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a proposta eletrônica de preços, anexando as planilhas de custos e demais documentos exigidos, até a data e horário da abertura da sessão pública, conforme o item 3.1 deste Edital.</w:t>
      </w:r>
    </w:p>
    <w:p w14:paraId="1DEF34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F5E4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6.1.1. No cadastramento da proposta inicial, o licitante declarará, em campo próprio do sistema, que:</w:t>
      </w:r>
    </w:p>
    <w:p w14:paraId="10C89D5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E1BA833">
      <w:pPr>
        <w:pStyle w:val="143"/>
        <w:numPr>
          <w:ilvl w:val="0"/>
          <w:numId w:val="2"/>
        </w:numPr>
        <w:tabs>
          <w:tab w:val="left" w:pos="566"/>
        </w:tabs>
        <w:spacing w:line="276" w:lineRule="auto"/>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condutas vigentes na data de sua entrega em definitivo e que cumpre plenamente os requisitos de habilitação definidos no instrumento convocatório;</w:t>
      </w:r>
    </w:p>
    <w:p w14:paraId="2020C900">
      <w:pPr>
        <w:pStyle w:val="143"/>
        <w:numPr>
          <w:ilvl w:val="0"/>
          <w:numId w:val="2"/>
        </w:numPr>
        <w:tabs>
          <w:tab w:val="left" w:pos="566"/>
        </w:tabs>
        <w:spacing w:line="276" w:lineRule="auto"/>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Não emprega menor de 18 anos em trabalho noturno, perigoso ou insalubre e não emprega menor de 16 anos, salvo menor, a partir de 14 anos, na condição de aprendiz, nos termos do artigo 7°, XXXIII, da Constituição;</w:t>
      </w:r>
    </w:p>
    <w:p w14:paraId="162B3D37">
      <w:pPr>
        <w:pStyle w:val="143"/>
        <w:numPr>
          <w:ilvl w:val="0"/>
          <w:numId w:val="2"/>
        </w:numPr>
        <w:tabs>
          <w:tab w:val="left" w:pos="566"/>
        </w:tabs>
        <w:spacing w:line="276" w:lineRule="auto"/>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Não possui, em sua cadeia produtiva, empregados executando trabalho degradante ou forçado, observando o disposto nos incisos III e IV do art. 1º e no inciso III do art. 5º da Constituição Federal;</w:t>
      </w:r>
    </w:p>
    <w:p w14:paraId="22EE367D">
      <w:pPr>
        <w:pStyle w:val="143"/>
        <w:numPr>
          <w:ilvl w:val="0"/>
          <w:numId w:val="2"/>
        </w:numPr>
        <w:tabs>
          <w:tab w:val="left" w:pos="566"/>
        </w:tabs>
        <w:spacing w:line="276" w:lineRule="auto"/>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Cumpre as exigências de reserva de cargos para pessoa com deficiência e para reabilitado da Previdência Social, previstas em lei e em outras normas específicas.</w:t>
      </w:r>
    </w:p>
    <w:p w14:paraId="60A92E03">
      <w:pPr>
        <w:pStyle w:val="143"/>
        <w:spacing w:line="276" w:lineRule="auto"/>
        <w:ind w:left="72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27D09DE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6.1.2. Os licitantes enquadrados como Microempresas (ME), Empresas de Pequeno Porte (EPP) ou sociedades cooperativas deverão declarar, em campo próprio do sistema eletrônico, o respectivo enquadramento legal conforme o art. 3º da Lei Complementar nº 123/2006, observando, entretanto, o disposto no item 5.6 deste Edital, segundo o qual não se aplicará o tratamento favorecido dessa Lei Complementar ao presente certame, em razão da natureza e vulto do objeto licitado.</w:t>
      </w:r>
    </w:p>
    <w:p w14:paraId="5859A74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4EBFE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6.1.3. A declaração falsa quanto ao cumprimento de qualquer das condições acima sujeitará o licitante às sanções previstas na Lei nº 14.133/2021, no Decreto Municipal nº 11.685/2023 e neste Edital.</w:t>
      </w:r>
    </w:p>
    <w:p w14:paraId="3A403E3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D4EF2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6.1.4. Os licitantes poderão retirar ou substituir a proposta ou os documentos de habilitação enquanto não iniciada a sessão pública.</w:t>
      </w:r>
    </w:p>
    <w:p w14:paraId="273225D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149E6D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6.1.4.1. Os documentos relativos à habilitação deverão ser cadastrados pelo licitante até a data de abertura da sessão pública. Após esse momento, não será admitida a inclusão de nova documentação, exceto nas hipóteses previstas nos itens 6.3.1.9 e 6.3.1.9.1 deste Edital.</w:t>
      </w:r>
    </w:p>
    <w:p w14:paraId="60F4C30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C01C83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6.1.5. Após a abertura da sessão pública, será realizada a classificação das propostas, e, em seguida, ocorrerá a fase de apresentação dos documentos de habilitação, que se dará somente após a declaração do licitante vencedor, conforme as regras da Lei nº 14.133/2021 e do Decreto Municipal nº 11.685/2023.</w:t>
      </w:r>
    </w:p>
    <w:p w14:paraId="352448C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7424E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6.1.6. Caberá ao licitante interessado acompanhar as operações no sistema eletrônico durante todo o processo licitatório, sendo de sua exclusiva responsabilidade os ônus decorrentes de desconexão, falha de comunicação ou inobservância de mensagens emitidas pela Administração.</w:t>
      </w:r>
    </w:p>
    <w:p w14:paraId="189FBA1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C24D0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6.1.7. O licitante deverá comunicar imediatamente ao provedor do sistema qualquer ocorrência que possa comprometer o sigilo ou a segurança das informações, a fim de possibilitar o bloqueio imediato do acesso.</w:t>
      </w:r>
    </w:p>
    <w:p w14:paraId="11AAC89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9C679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6.1.8. Todos os documentos exigidos deverão estar válidos e vigentes, dentro de seus respectivos prazos de validade.</w:t>
      </w:r>
    </w:p>
    <w:p w14:paraId="3B19249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p>
    <w:p w14:paraId="4B9BAFCC">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6.2. DA PROPOSTA DE PREÇOS</w:t>
      </w:r>
    </w:p>
    <w:p w14:paraId="773B8084">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B0E45A2">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DA PROPOSTA DE PREÇO ELETRÔNICA</w:t>
      </w:r>
    </w:p>
    <w:p w14:paraId="6521AB87">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4BF449D">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6.2.1. O licitante deverá enviar sua proposta mediante o preenchimento, no sistema eletrônico, dos seguintes campos:</w:t>
      </w:r>
    </w:p>
    <w:p w14:paraId="7639C3CC">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F5370A4">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6.2.1.1. Valor unitário e total do item;</w:t>
      </w:r>
    </w:p>
    <w:p w14:paraId="5ACE7F3F">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8BD6D4A">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6.2.1.2. Descrição do objeto, contendo as informações similares à especificação do Estudo Técnico Preliminar e Projeto Básico, indicando, no que for aplicável, o modelo, prazo de validade ou de garantia, número do registro ou inscrição do bem no órgão competente, quando for o caso.</w:t>
      </w:r>
    </w:p>
    <w:p w14:paraId="7D9D8B19">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A06F1DC">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6.2.2. Todas as especificações do objeto contidas na proposta vinculam a Contratada;</w:t>
      </w:r>
    </w:p>
    <w:p w14:paraId="1EC32ED5">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50C8B9B">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6.2.3. Nos valores propostos deverão estar inclusos todos os custos relativos à execução da obra, tais como custos operacionais, encargos previdenciários, trabalhistas, tributários, comerciais e quaisquer outros que incidam direta ou indiretamente sobre a execução dos serviços, conforme o regime de empreitada por preço unitário.</w:t>
      </w:r>
    </w:p>
    <w:p w14:paraId="4AAB3AA1">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0AB71F0">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6.2.4. Os preços ofertados, serão de exclusiva responsabilidade do licitante, não lhe assistindo o direito de pleitear qualquer alteração, sob alegação de erro, omissão ou qualquer outro pretexto;</w:t>
      </w:r>
    </w:p>
    <w:p w14:paraId="73A65CC0">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66FD2B8">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6.2.5. Sob pena de desclassificação, a licitante declarada vencedora deverá anexar, no campo próprio da plataforma BLL, em até 02 (duas) horas contadas da solicitação do Agente de Contratação, a Proposta Detalhada e a Planilha de Preços (orçamento resumido/sintético/analítico, cronograma físico-financeiro, BDI e encargos sociais) em formato digital.</w:t>
      </w:r>
    </w:p>
    <w:p w14:paraId="134E2994">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AD755C">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6.2.5.1. O prazo do item anterior poderá ser prorrogado uma única vez, por igual período, mediante justificativa aceita pelo Agente de Contratação.</w:t>
      </w:r>
    </w:p>
    <w:p w14:paraId="341AA74A">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8910164">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6.2.6. Não haverá possibilidade de apresentação de preços diferenciados em razão de entregas em locais distintos, forma de acondicionamento ou tamanho do lote, em observância ao disposto no art. 82, inciso III, da Lei nº 14.133/2021 e art. 301, inciso VIII, do Decreto Municipal nº 11.685/2023.</w:t>
      </w:r>
    </w:p>
    <w:p w14:paraId="3A1AA5A2">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2F9786">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6.2.7. Não será admitida a apresentação de proposta em quantitativo inferior ao mínimo previsto no edital, devendo o licitante se obrigar nos limites nele estabelecidos, conforme art. 82, inciso IV, da Lei nº 14.133/2021 e art. 301, inciso IX, do Decreto Municipal nº 11.685/2023.</w:t>
      </w:r>
    </w:p>
    <w:p w14:paraId="580B5118">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A9F5714">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DA PROPOSTA E PLANILHA DE PREÇOS</w:t>
      </w:r>
    </w:p>
    <w:p w14:paraId="7619B8E6">
      <w:pPr>
        <w:pStyle w:val="180"/>
        <w:tabs>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BF6D403">
      <w:pPr>
        <w:pStyle w:val="199"/>
        <w:tabs>
          <w:tab w:val="left" w:pos="566"/>
          <w:tab w:val="left" w:pos="1132"/>
          <w:tab w:val="clear" w:pos="7936"/>
        </w:tabs>
        <w:spacing w:before="0" w:after="0" w:line="276" w:lineRule="auto"/>
        <w:ind w:left="0" w:right="0" w:firstLine="0"/>
        <w:rPr>
          <w:rFonts w:ascii="Arial" w:hAnsi="Arial" w:cs="Arial"/>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6.2.8. A PROPOSTA DE PREÇOS deverá ser enviada exclusivamente por meio do sistema eletrônico BLL (bllcompras.com), em língua portuguesa, redigida com clareza, sem alternativas, emendas, rasuras ou entrelinhas, devidamente datada e assinada digitalmente pelo representante legal. Deverá acompanhar a proposta a planilha eletrônica de cálculo (orçamento resumido, sintético e analítico), contendo a indicação do Responsável Técnico e o respectivo nº de registro no conselho competente, em todas as folhas/abas do arquivo, permitindo a cópia dos dados inseridos, para julgamento da proposta pelo Agente de Contratação e envio aos órgãos de controle.</w:t>
      </w:r>
    </w:p>
    <w:p w14:paraId="15A72CFF">
      <w:pPr>
        <w:pStyle w:val="201"/>
        <w:spacing w:before="0" w:after="0" w:line="276" w:lineRule="auto"/>
        <w:ind w:left="708" w:right="0" w:firstLine="0"/>
        <w:rPr>
          <w:rFonts w:ascii="Arial" w:hAnsi="Arial" w:cs="Arial"/>
          <w:b/>
          <w:i w:val="0"/>
          <w:caps w:val="0"/>
          <w:smallCaps w:val="0"/>
          <w:strike w:val="0"/>
          <w:color w:val="000000"/>
          <w:spacing w:val="0"/>
          <w:sz w:val="22"/>
          <w:szCs w:val="22"/>
          <w:u w:val="none"/>
          <w:shd w:val="clear" w:color="auto" w:fill="FFFFFF"/>
          <w:lang w:val="pt-BR" w:bidi="ar-SA"/>
        </w:rPr>
      </w:pPr>
    </w:p>
    <w:p w14:paraId="7008F07F">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6.2.8.1. Em caso de divergência entre os campos preenchidos no sistema e a planilha eletrônica anexada, prevalecerá, para fins de julgamento, a planilha eletrônica anexada, sem prejuízo de diligência para saneamento de erro formal, vedada a majoração do menor preço ofertado.</w:t>
      </w:r>
    </w:p>
    <w:p w14:paraId="0EBD39B0">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56B08FF1">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6.2.8.2. A versão digital da </w:t>
      </w:r>
      <w:r>
        <w:rPr>
          <w:rFonts w:ascii="Book Antiqua" w:hAnsi="Book Antiqua" w:cs="Book Antiqua"/>
          <w:b/>
          <w:i w:val="0"/>
          <w:caps w:val="0"/>
          <w:smallCaps w:val="0"/>
          <w:strike w:val="0"/>
          <w:color w:val="000000"/>
          <w:spacing w:val="0"/>
          <w:sz w:val="18"/>
          <w:szCs w:val="18"/>
          <w:u w:val="none"/>
          <w:shd w:val="clear" w:color="auto" w:fill="FFFFFF"/>
          <w:lang w:val="pt-BR" w:bidi="ar-SA"/>
        </w:rPr>
        <w:t>PROPOSTA DE PREÇOS</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e anexos deverá ser </w:t>
      </w:r>
      <w:r>
        <w:rPr>
          <w:rFonts w:ascii="Book Antiqua" w:hAnsi="Book Antiqua" w:cs="Book Antiqua"/>
          <w:b/>
          <w:i w:val="0"/>
          <w:caps w:val="0"/>
          <w:smallCaps w:val="0"/>
          <w:strike w:val="0"/>
          <w:color w:val="000000"/>
          <w:spacing w:val="0"/>
          <w:sz w:val="18"/>
          <w:szCs w:val="18"/>
          <w:u w:val="none"/>
          <w:shd w:val="clear" w:color="auto" w:fill="FFFFFF"/>
          <w:lang w:val="pt-BR" w:bidi="ar-SA"/>
        </w:rPr>
        <w:t>enviada no campo próprio do sistema</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Verificada </w:t>
      </w:r>
      <w:r>
        <w:rPr>
          <w:rFonts w:ascii="Book Antiqua" w:hAnsi="Book Antiqua" w:cs="Book Antiqua"/>
          <w:b/>
          <w:i w:val="0"/>
          <w:caps w:val="0"/>
          <w:smallCaps w:val="0"/>
          <w:strike w:val="0"/>
          <w:color w:val="000000"/>
          <w:spacing w:val="0"/>
          <w:sz w:val="18"/>
          <w:szCs w:val="18"/>
          <w:u w:val="none"/>
          <w:shd w:val="clear" w:color="auto" w:fill="FFFFFF"/>
          <w:lang w:val="pt-BR" w:bidi="ar-SA"/>
        </w:rPr>
        <w:t>falha de upload</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ou </w:t>
      </w:r>
      <w:r>
        <w:rPr>
          <w:rFonts w:ascii="Book Antiqua" w:hAnsi="Book Antiqua" w:cs="Book Antiqua"/>
          <w:b/>
          <w:i w:val="0"/>
          <w:caps w:val="0"/>
          <w:smallCaps w:val="0"/>
          <w:strike w:val="0"/>
          <w:color w:val="000000"/>
          <w:spacing w:val="0"/>
          <w:sz w:val="18"/>
          <w:szCs w:val="18"/>
          <w:u w:val="none"/>
          <w:shd w:val="clear" w:color="auto" w:fill="FFFFFF"/>
          <w:lang w:val="pt-BR" w:bidi="ar-SA"/>
        </w:rPr>
        <w:t>inconsistência de arquivo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o Setor de Licitações poderá </w:t>
      </w:r>
      <w:r>
        <w:rPr>
          <w:rFonts w:ascii="Book Antiqua" w:hAnsi="Book Antiqua" w:cs="Book Antiqua"/>
          <w:b/>
          <w:i w:val="0"/>
          <w:caps w:val="0"/>
          <w:smallCaps w:val="0"/>
          <w:strike w:val="0"/>
          <w:color w:val="000000"/>
          <w:spacing w:val="0"/>
          <w:sz w:val="18"/>
          <w:szCs w:val="18"/>
          <w:u w:val="none"/>
          <w:shd w:val="clear" w:color="auto" w:fill="FFFFFF"/>
          <w:lang w:val="pt-BR" w:bidi="ar-SA"/>
        </w:rPr>
        <w:t>diligenciar</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para reenvio </w:t>
      </w:r>
      <w:r>
        <w:rPr>
          <w:rFonts w:ascii="Book Antiqua" w:hAnsi="Book Antiqua" w:cs="Book Antiqua"/>
          <w:b/>
          <w:i w:val="0"/>
          <w:caps w:val="0"/>
          <w:smallCaps w:val="0"/>
          <w:strike w:val="0"/>
          <w:color w:val="000000"/>
          <w:spacing w:val="0"/>
          <w:sz w:val="18"/>
          <w:szCs w:val="18"/>
          <w:u w:val="none"/>
          <w:shd w:val="clear" w:color="auto" w:fill="FFFFFF"/>
          <w:lang w:val="pt-BR" w:bidi="ar-SA"/>
        </w:rPr>
        <w:t>pelo próprio sistema</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em prazo certo, observado o princípio do julgamento objetivo. É </w:t>
      </w:r>
      <w:r>
        <w:rPr>
          <w:rFonts w:ascii="Book Antiqua" w:hAnsi="Book Antiqua" w:cs="Book Antiqua"/>
          <w:b/>
          <w:i w:val="0"/>
          <w:caps w:val="0"/>
          <w:smallCaps w:val="0"/>
          <w:strike w:val="0"/>
          <w:color w:val="000000"/>
          <w:spacing w:val="0"/>
          <w:sz w:val="18"/>
          <w:szCs w:val="18"/>
          <w:u w:val="none"/>
          <w:shd w:val="clear" w:color="auto" w:fill="FFFFFF"/>
          <w:lang w:val="pt-BR" w:bidi="ar-SA"/>
        </w:rPr>
        <w:t>vedado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apresentar arquivo </w:t>
      </w:r>
      <w:r>
        <w:rPr>
          <w:rFonts w:ascii="Book Antiqua" w:hAnsi="Book Antiqua" w:cs="Book Antiqua"/>
          <w:b/>
          <w:i w:val="0"/>
          <w:caps w:val="0"/>
          <w:smallCaps w:val="0"/>
          <w:strike w:val="0"/>
          <w:color w:val="000000"/>
          <w:spacing w:val="0"/>
          <w:sz w:val="18"/>
          <w:szCs w:val="18"/>
          <w:u w:val="none"/>
          <w:shd w:val="clear" w:color="auto" w:fill="FFFFFF"/>
          <w:lang w:val="pt-BR" w:bidi="ar-SA"/>
        </w:rPr>
        <w:t>divergente do conteúdo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da proposta enviada no sistema.</w:t>
      </w:r>
    </w:p>
    <w:p w14:paraId="3ECD321C">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1BF10C44">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6.2.8.3. Os Arquivos digitais constantes deverão ser no formato de arquivo do tipo </w:t>
      </w:r>
      <w:r>
        <w:rPr>
          <w:rFonts w:ascii="Book Antiqua" w:hAnsi="Book Antiqua" w:cs="Book Antiqua"/>
          <w:b w:val="0"/>
          <w:i/>
          <w:caps w:val="0"/>
          <w:smallCaps w:val="0"/>
          <w:strike w:val="0"/>
          <w:color w:val="000000"/>
          <w:spacing w:val="0"/>
          <w:sz w:val="18"/>
          <w:szCs w:val="18"/>
          <w:u w:val="none"/>
          <w:shd w:val="clear" w:color="auto" w:fill="FFFFFF"/>
          <w:lang w:val="pt-BR" w:bidi="ar-SA"/>
        </w:rPr>
        <w:t>“.xls</w:t>
      </w:r>
      <w:r>
        <w:rPr>
          <w:rFonts w:ascii="Book Antiqua" w:hAnsi="Book Antiqua" w:cs="Book Antiqua"/>
          <w:b w:val="0"/>
          <w:i w:val="0"/>
          <w:caps w:val="0"/>
          <w:smallCaps w:val="0"/>
          <w:strike w:val="0"/>
          <w:color w:val="000000"/>
          <w:spacing w:val="0"/>
          <w:sz w:val="18"/>
          <w:szCs w:val="18"/>
          <w:u w:val="none"/>
          <w:shd w:val="clear" w:color="auto" w:fill="FFFFFF"/>
          <w:lang w:val="pt-BR" w:bidi="ar-SA"/>
        </w:rPr>
        <w:t>”/“.</w:t>
      </w:r>
      <w:r>
        <w:rPr>
          <w:rFonts w:ascii="Book Antiqua" w:hAnsi="Book Antiqua" w:cs="Book Antiqua"/>
          <w:b w:val="0"/>
          <w:i/>
          <w:caps w:val="0"/>
          <w:smallCaps w:val="0"/>
          <w:strike w:val="0"/>
          <w:color w:val="000000"/>
          <w:spacing w:val="0"/>
          <w:sz w:val="18"/>
          <w:szCs w:val="18"/>
          <w:u w:val="none"/>
          <w:shd w:val="clear" w:color="auto" w:fill="FFFFFF"/>
          <w:lang w:val="pt-BR" w:bidi="ar-SA"/>
        </w:rPr>
        <w:t>xlsx</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(Excel) ou </w:t>
      </w:r>
      <w:r>
        <w:rPr>
          <w:rFonts w:ascii="Book Antiqua" w:hAnsi="Book Antiqua" w:cs="Book Antiqua"/>
          <w:b w:val="0"/>
          <w:i/>
          <w:caps w:val="0"/>
          <w:smallCaps w:val="0"/>
          <w:strike w:val="0"/>
          <w:color w:val="000000"/>
          <w:spacing w:val="0"/>
          <w:sz w:val="18"/>
          <w:szCs w:val="18"/>
          <w:u w:val="none"/>
          <w:shd w:val="clear" w:color="auto" w:fill="FFFFFF"/>
          <w:lang w:val="pt-BR" w:bidi="ar-SA"/>
        </w:rPr>
        <w:t>“.ods</w:t>
      </w:r>
      <w:r>
        <w:rPr>
          <w:rFonts w:ascii="Book Antiqua" w:hAnsi="Book Antiqua" w:cs="Book Antiqua"/>
          <w:b w:val="0"/>
          <w:i w:val="0"/>
          <w:caps w:val="0"/>
          <w:smallCaps w:val="0"/>
          <w:strike w:val="0"/>
          <w:color w:val="000000"/>
          <w:spacing w:val="0"/>
          <w:sz w:val="18"/>
          <w:szCs w:val="18"/>
          <w:u w:val="none"/>
          <w:shd w:val="clear" w:color="auto" w:fill="FFFFFF"/>
          <w:lang w:val="pt-BR" w:bidi="ar-SA"/>
        </w:rPr>
        <w:t>” (OpenOffice ou LibreOffice).</w:t>
      </w:r>
    </w:p>
    <w:p w14:paraId="51AE4165">
      <w:pPr>
        <w:pStyle w:val="201"/>
        <w:spacing w:before="0" w:after="0" w:line="276" w:lineRule="auto"/>
        <w:ind w:left="708" w:right="0" w:firstLine="0"/>
        <w:rPr>
          <w:rFonts w:ascii="Arial" w:hAnsi="Arial" w:cs="Arial"/>
          <w:b/>
          <w:i w:val="0"/>
          <w:caps w:val="0"/>
          <w:smallCaps w:val="0"/>
          <w:strike w:val="0"/>
          <w:color w:val="000000"/>
          <w:spacing w:val="0"/>
          <w:sz w:val="22"/>
          <w:szCs w:val="22"/>
          <w:u w:val="none"/>
          <w:shd w:val="clear" w:color="auto" w:fill="FFFFFF"/>
          <w:lang w:val="pt-BR" w:bidi="ar-SA"/>
        </w:rPr>
      </w:pPr>
    </w:p>
    <w:p w14:paraId="6812FC77">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6.2.9. A Proposta de Preços deverá ser formulada conforme o ANEXO I, SOB PENA DE DESCLASSIFICAÇÃO, e observar:</w:t>
      </w:r>
    </w:p>
    <w:p w14:paraId="6482AD7B">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964AE21">
      <w:pPr>
        <w:pStyle w:val="201"/>
        <w:tabs>
          <w:tab w:val="left" w:pos="709"/>
          <w:tab w:val="left" w:pos="849"/>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6.2.9.1. Conter razão social da licitante, n</w:t>
      </w:r>
      <w:r>
        <w:rPr>
          <w:rFonts w:ascii="Book Antiqua" w:hAnsi="Book Antiqua" w:cs="Book Antiqua"/>
          <w:b w:val="0"/>
          <w:i w:val="0"/>
          <w:caps w:val="0"/>
          <w:smallCaps w:val="0"/>
          <w:strike w:val="0"/>
          <w:color w:val="000000"/>
          <w:spacing w:val="0"/>
          <w:sz w:val="18"/>
          <w:szCs w:val="18"/>
          <w:u w:val="none"/>
          <w:shd w:val="clear" w:color="auto" w:fill="FFFFFF"/>
          <w:vertAlign w:val="superscript"/>
          <w:lang w:val="pt-BR" w:bidi="ar-SA"/>
        </w:rPr>
        <w:t>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do CNPJ/MF, endereço completo, telefone, para contato, n</w:t>
      </w:r>
      <w:r>
        <w:rPr>
          <w:rFonts w:ascii="Book Antiqua" w:hAnsi="Book Antiqua" w:cs="Book Antiqua"/>
          <w:b w:val="0"/>
          <w:i w:val="0"/>
          <w:caps w:val="0"/>
          <w:smallCaps w:val="0"/>
          <w:strike w:val="0"/>
          <w:color w:val="000000"/>
          <w:spacing w:val="0"/>
          <w:sz w:val="18"/>
          <w:szCs w:val="18"/>
          <w:u w:val="none"/>
          <w:shd w:val="clear" w:color="auto" w:fill="FFFFFF"/>
          <w:vertAlign w:val="superscript"/>
          <w:lang w:val="pt-BR" w:bidi="ar-SA"/>
        </w:rPr>
        <w:t>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da conta-corrente, agência e respectivo Banco e, se possível, endereço eletrônico (e-mail);</w:t>
      </w:r>
    </w:p>
    <w:p w14:paraId="6BAB4AF5">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1517CA4C">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6.2.9.2. Número e descrição detalhada do objeto da presente licitação, em conformidade com as especificações constantes neste edital e seus anexos;</w:t>
      </w:r>
    </w:p>
    <w:p w14:paraId="6FD838E3">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24083240">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6.2.9.3. O prazo de eficácia da proposta, o qual </w:t>
      </w:r>
      <w:r>
        <w:rPr>
          <w:rFonts w:ascii="Book Antiqua" w:hAnsi="Book Antiqua" w:cs="Book Antiqua"/>
          <w:b w:val="0"/>
          <w:i w:val="0"/>
          <w:caps w:val="0"/>
          <w:smallCaps w:val="0"/>
          <w:strike w:val="0"/>
          <w:color w:val="000000"/>
          <w:spacing w:val="0"/>
          <w:sz w:val="18"/>
          <w:szCs w:val="18"/>
          <w:u w:val="single"/>
          <w:shd w:val="clear" w:color="auto" w:fill="FFFFFF"/>
          <w:lang w:val="pt-BR" w:bidi="ar-SA"/>
        </w:rPr>
        <w:t>não poderá ser inferior a 60 (sessenta) dias</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corridos, a contar da data de entrega da mesma;</w:t>
      </w:r>
    </w:p>
    <w:p w14:paraId="1196DB17">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1069BBC8">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6.2.9.4. Apresentar uma única cotação, com preço do serviço, em moeda corrente nacional, expressos em algarismos, sem previsão inflacionária. Em caso de divergência entre os valores unitários e totais, serão considerados os primeiros;</w:t>
      </w:r>
    </w:p>
    <w:p w14:paraId="7453B9D4">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2E3C4DAC">
      <w:pPr>
        <w:pStyle w:val="201"/>
        <w:tabs>
          <w:tab w:val="left" w:pos="566"/>
        </w:tabs>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6.2.9.5. O valor total da proposta não deverá ser superior ao limite estabelecido na planilha base da Prefeitura Municipal de Rondonópolis – MT, bem como os valores unitários não poderão ser superiores aos expostos na planilha desta municipalidade.</w:t>
      </w:r>
    </w:p>
    <w:p w14:paraId="1EBEBAAC">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04115467">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6.2.10.</w:t>
      </w:r>
      <w:r>
        <w:rPr>
          <w:rFonts w:ascii="Book Antiqua" w:hAnsi="Book Antiqua" w:cs="Book Antiqua"/>
          <w:b/>
          <w:i w:val="0"/>
          <w:caps w:val="0"/>
          <w:smallCaps w:val="0"/>
          <w:strike w:val="0"/>
          <w:color w:val="000000"/>
          <w:spacing w:val="0"/>
          <w:sz w:val="18"/>
          <w:szCs w:val="18"/>
          <w:u w:val="none"/>
          <w:shd w:val="clear" w:color="auto" w:fill="FFFFFF"/>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FF"/>
          <w:lang w:val="pt-BR" w:bidi="ar-SA"/>
        </w:rPr>
        <w:t>A proposta deverá conter todo e qualquer custo que se fizer necessário para a execução dos serviços (Locações de equipamentos, encargos trabalhistas, horas extras, recomposição das áreas danificadas na execução dos serviços, limpeza durante a execução dos serviços, limpeza final, remoção do material excedente; encargos sociais; BDI; etc.).</w:t>
      </w:r>
    </w:p>
    <w:p w14:paraId="700CCD0E">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0B29E7EB">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 A proposta deverá conter: Prazo de entrega dos serviços; Prazo de validade da proposta. Valor total da proposta; Planilha Orçamentária com preços unitários e totais por item; Composição de Preço Unitário e Cronograma Físico-Financeiro.</w:t>
      </w:r>
    </w:p>
    <w:p w14:paraId="76B878CF">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5CD64723">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6.2.11.1. A COMPOSIÇÃO DE PREÇOS UNITÁRIOS deverá ser elaborada para todos os itens constantes na PLANILHA ORÇAMENTÁRIA DE PREÇOS, nos termos do Artigo 6º da Resolução Normativa nº 39/2016/TCEMT (TCU, Súmula 258).</w:t>
      </w:r>
    </w:p>
    <w:p w14:paraId="0FAAD033">
      <w:pPr>
        <w:pStyle w:val="201"/>
        <w:spacing w:before="0" w:after="0" w:line="276" w:lineRule="auto"/>
        <w:ind w:left="426" w:right="0" w:firstLine="0"/>
        <w:rPr>
          <w:rFonts w:ascii="Arial" w:hAnsi="Arial" w:cs="Arial"/>
          <w:b/>
          <w:i w:val="0"/>
          <w:caps w:val="0"/>
          <w:smallCaps w:val="0"/>
          <w:strike w:val="0"/>
          <w:color w:val="000000"/>
          <w:spacing w:val="0"/>
          <w:sz w:val="22"/>
          <w:szCs w:val="22"/>
          <w:u w:val="none"/>
          <w:shd w:val="clear" w:color="auto" w:fill="FFFFFF"/>
          <w:lang w:val="pt-BR" w:bidi="ar-SA"/>
        </w:rPr>
      </w:pPr>
    </w:p>
    <w:p w14:paraId="0748B225">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6.2.11.2. Os serviços deverão obedecer na íntegra os memoriais, caso fornecidos.</w:t>
      </w:r>
    </w:p>
    <w:p w14:paraId="78B977A3">
      <w:pPr>
        <w:pStyle w:val="201"/>
        <w:spacing w:before="0" w:after="0" w:line="276" w:lineRule="auto"/>
        <w:ind w:left="426" w:right="0" w:firstLine="0"/>
        <w:rPr>
          <w:rFonts w:ascii="Arial" w:hAnsi="Arial" w:cs="Arial"/>
          <w:b/>
          <w:i w:val="0"/>
          <w:caps w:val="0"/>
          <w:smallCaps w:val="0"/>
          <w:strike w:val="0"/>
          <w:color w:val="000000"/>
          <w:spacing w:val="0"/>
          <w:sz w:val="22"/>
          <w:szCs w:val="22"/>
          <w:u w:val="none"/>
          <w:shd w:val="clear" w:color="auto" w:fill="FFFFFF"/>
          <w:lang w:val="pt-BR" w:bidi="ar-SA"/>
        </w:rPr>
      </w:pPr>
    </w:p>
    <w:p w14:paraId="2350B29A">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6.2.11.3. A Licitante deverá apresentar proposta com a opção de folha de pagamentos desonerados ou não. Em caso de optante por desoneração da folha de pagamento, conforme a Lei 13.161/2015 apresentar ainda Declaração de optante por desoneração.</w:t>
      </w:r>
    </w:p>
    <w:p w14:paraId="7B787639">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4C7C1E71">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6.2.11.4.</w:t>
      </w:r>
      <w:r>
        <w:rPr>
          <w:rFonts w:ascii="Book Antiqua" w:hAnsi="Book Antiqua" w:cs="Book Antiqua"/>
          <w:b/>
          <w:i w:val="0"/>
          <w:caps w:val="0"/>
          <w:smallCaps w:val="0"/>
          <w:strike w:val="0"/>
          <w:color w:val="000000"/>
          <w:spacing w:val="0"/>
          <w:sz w:val="18"/>
          <w:szCs w:val="18"/>
          <w:u w:val="none"/>
          <w:shd w:val="clear" w:color="auto" w:fill="FFFFFF"/>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A Composição do BDI deve atender o disposto no Acórdão nº 2622/2013-TCU e de acordo com a opção de encargos sociais escolhida, em valores nominais como também sob a forma percentual, com a indicação do Responsável Técnico e nº de Registro no Conselho competente </w:t>
      </w:r>
      <w:r>
        <w:rPr>
          <w:rFonts w:ascii="Book Antiqua" w:hAnsi="Book Antiqua" w:cs="Book Antiqua"/>
          <w:b w:val="0"/>
          <w:i w:val="0"/>
          <w:caps w:val="0"/>
          <w:smallCaps w:val="0"/>
          <w:strike w:val="0"/>
          <w:color w:val="000000"/>
          <w:spacing w:val="0"/>
          <w:sz w:val="18"/>
          <w:szCs w:val="18"/>
          <w:u w:val="single"/>
          <w:shd w:val="clear" w:color="auto" w:fill="FFFFFF"/>
          <w:lang w:val="pt-BR" w:bidi="ar-SA"/>
        </w:rPr>
        <w:t>em todas suas folhas.</w:t>
      </w:r>
    </w:p>
    <w:p w14:paraId="5080D3F9">
      <w:pPr>
        <w:pStyle w:val="201"/>
        <w:spacing w:before="0" w:after="0" w:line="276" w:lineRule="auto"/>
        <w:ind w:left="426" w:right="0" w:firstLine="0"/>
        <w:rPr>
          <w:rFonts w:ascii="Arial" w:hAnsi="Arial" w:cs="Arial"/>
          <w:b/>
          <w:i w:val="0"/>
          <w:caps w:val="0"/>
          <w:smallCaps w:val="0"/>
          <w:strike w:val="0"/>
          <w:color w:val="000000"/>
          <w:spacing w:val="0"/>
          <w:sz w:val="22"/>
          <w:szCs w:val="22"/>
          <w:u w:val="none"/>
          <w:shd w:val="clear" w:color="auto" w:fill="FFFFFF"/>
          <w:lang w:val="pt-BR" w:bidi="ar-SA"/>
        </w:rPr>
      </w:pPr>
    </w:p>
    <w:p w14:paraId="068BB591">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6.2.11.5.</w:t>
      </w:r>
      <w:r>
        <w:rPr>
          <w:rFonts w:ascii="Book Antiqua" w:hAnsi="Book Antiqua" w:cs="Book Antiqua"/>
          <w:b/>
          <w:i w:val="0"/>
          <w:caps w:val="0"/>
          <w:smallCaps w:val="0"/>
          <w:strike w:val="0"/>
          <w:color w:val="000000"/>
          <w:spacing w:val="0"/>
          <w:sz w:val="18"/>
          <w:szCs w:val="18"/>
          <w:u w:val="none"/>
          <w:shd w:val="clear" w:color="auto" w:fill="FFFFFF"/>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FF"/>
          <w:lang w:val="pt-BR" w:bidi="ar-SA"/>
        </w:rPr>
        <w:t>Na Planilha de Orçamento deve constar o valor do BDI (Detalhando os valores aplicados nos impostos, PIS, COFINS, CPRB).</w:t>
      </w:r>
    </w:p>
    <w:p w14:paraId="6D71013E">
      <w:pPr>
        <w:pStyle w:val="143"/>
        <w:tabs>
          <w:tab w:val="left" w:pos="1132"/>
        </w:tabs>
        <w:spacing w:line="276" w:lineRule="auto"/>
        <w:ind w:left="96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1D06DA9">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6.2.11.5.1. Apresentar a composição do BDI, conforme o Estudo Técnico Preliminar – ETP e Projeto Básico.</w:t>
      </w:r>
    </w:p>
    <w:p w14:paraId="0EE37461">
      <w:pPr>
        <w:pStyle w:val="201"/>
        <w:spacing w:before="0" w:after="0" w:line="276" w:lineRule="auto"/>
        <w:ind w:left="960" w:right="0" w:firstLine="0"/>
        <w:rPr>
          <w:rFonts w:ascii="Arial" w:hAnsi="Arial" w:cs="Arial"/>
          <w:b/>
          <w:i w:val="0"/>
          <w:caps w:val="0"/>
          <w:smallCaps w:val="0"/>
          <w:strike w:val="0"/>
          <w:color w:val="000000"/>
          <w:spacing w:val="0"/>
          <w:sz w:val="22"/>
          <w:szCs w:val="22"/>
          <w:u w:val="none"/>
          <w:shd w:val="clear" w:color="auto" w:fill="FFFFFF"/>
          <w:lang w:val="pt-BR" w:bidi="ar-SA"/>
        </w:rPr>
      </w:pPr>
    </w:p>
    <w:p w14:paraId="3E7A730B">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6.2.11.5.2. 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2416A374">
      <w:pPr>
        <w:pStyle w:val="201"/>
        <w:spacing w:before="0" w:after="0" w:line="276" w:lineRule="auto"/>
        <w:ind w:left="960" w:right="0" w:firstLine="0"/>
        <w:rPr>
          <w:rFonts w:ascii="Arial" w:hAnsi="Arial" w:cs="Arial"/>
          <w:b/>
          <w:i w:val="0"/>
          <w:caps w:val="0"/>
          <w:smallCaps w:val="0"/>
          <w:strike w:val="0"/>
          <w:color w:val="000000"/>
          <w:spacing w:val="0"/>
          <w:sz w:val="22"/>
          <w:szCs w:val="22"/>
          <w:u w:val="none"/>
          <w:shd w:val="clear" w:color="auto" w:fill="FFFFFF"/>
          <w:lang w:val="pt-BR" w:bidi="ar-SA"/>
        </w:rPr>
      </w:pPr>
    </w:p>
    <w:p w14:paraId="462658BA">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6.2.12 As alíquotas de tributos cotadas pelo licitante não podem ser superiores aos limites estabelecidos na legislação tributária.</w:t>
      </w:r>
    </w:p>
    <w:p w14:paraId="72639CEE">
      <w:pPr>
        <w:pStyle w:val="201"/>
        <w:spacing w:before="0" w:after="0" w:line="276" w:lineRule="auto"/>
        <w:ind w:left="426" w:right="0" w:firstLine="0"/>
        <w:rPr>
          <w:rFonts w:ascii="Arial" w:hAnsi="Arial" w:cs="Arial"/>
          <w:b w:val="0"/>
          <w:bCs w:val="0"/>
          <w:i w:val="0"/>
          <w:caps w:val="0"/>
          <w:smallCaps w:val="0"/>
          <w:strike w:val="0"/>
          <w:color w:val="000000"/>
          <w:spacing w:val="0"/>
          <w:sz w:val="22"/>
          <w:szCs w:val="22"/>
          <w:u w:val="none"/>
          <w:shd w:val="clear" w:color="auto" w:fill="FFFFFF"/>
        </w:rPr>
      </w:pPr>
    </w:p>
    <w:p w14:paraId="0404B3CD">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6.2.12.1 Os tributos considerados de natureza direta e personalística, como o Imposto de Renda de Pessoa Jurídica - IRPJ e a Contribuição Sobre o Lucro Líquido - CSLL, não deverão ser incluídos no BDI, nos termos do art. 9º, II do Decreto 7.983, de 2013 (TCU, Súmula 254).</w:t>
      </w:r>
    </w:p>
    <w:p w14:paraId="6ED04469">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p>
    <w:p w14:paraId="26935C3C">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6.2.12.2.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B89CAC6">
      <w:pPr>
        <w:pStyle w:val="201"/>
        <w:spacing w:before="0" w:after="0" w:line="276" w:lineRule="auto"/>
        <w:rPr>
          <w:rFonts w:ascii="Arial" w:hAnsi="Arial" w:cs="Arial"/>
          <w:b/>
          <w:i w:val="0"/>
          <w:caps w:val="0"/>
          <w:smallCaps w:val="0"/>
          <w:strike w:val="0"/>
          <w:color w:val="000000"/>
          <w:spacing w:val="0"/>
          <w:sz w:val="22"/>
          <w:szCs w:val="22"/>
          <w:u w:val="none"/>
          <w:shd w:val="clear" w:color="auto" w:fill="FFFFFF"/>
          <w:lang w:val="pt-BR" w:bidi="ar-SA"/>
        </w:rPr>
      </w:pPr>
    </w:p>
    <w:p w14:paraId="07025F71">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6.2.12.3. As empresas licitantes optantes pelo Simples Nacional deverão apresentar os percentuais de ISS, PIS e COFINS, discriminados na composição do BDI, compatíveis as alíquotas a que estão obrigadas a recolher, conforme previsão contida no Anexo IV da Lei Complementar nº 123/2006.</w:t>
      </w:r>
    </w:p>
    <w:p w14:paraId="178F30F8">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p>
    <w:p w14:paraId="46BA5E52">
      <w:pPr>
        <w:pStyle w:val="201"/>
        <w:spacing w:before="0" w:after="0" w:line="276" w:lineRule="auto"/>
        <w:rPr>
          <w:rFonts w:ascii="Arial" w:hAnsi="Arial" w:cs="Arial"/>
          <w:b w:val="0"/>
          <w:bCs w:val="0"/>
          <w:i w:val="0"/>
          <w:caps w:val="0"/>
          <w:smallCaps w:val="0"/>
          <w:strike w:val="0"/>
          <w:color w:val="000000"/>
          <w:spacing w:val="0"/>
          <w:sz w:val="22"/>
          <w:szCs w:val="22"/>
          <w:u w:val="none"/>
          <w:shd w:val="clear" w:color="auto" w:fill="FFFFFF"/>
        </w:rPr>
      </w:pP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6.2.12.4. A composição de encargos sociais das empresas optantes pelo Simples Nacional não poderá incluir os gastos relativos às contribuições que estão dispensadas de recolhimento (SESI, SENAI, SEBRAE etc.), conforme dispões o art. 13, § 3º, da referida Lei Complementar.</w:t>
      </w:r>
    </w:p>
    <w:p w14:paraId="62F75D6D">
      <w:pPr>
        <w:pStyle w:val="170"/>
        <w:spacing w:before="0" w:after="0" w:line="276" w:lineRule="auto"/>
        <w:jc w:val="both"/>
        <w:rPr>
          <w:rFonts w:ascii="Arial" w:hAnsi="Arial" w:cs="Arial"/>
          <w:b w:val="0"/>
          <w:bCs w:val="0"/>
          <w:i/>
          <w:caps w:val="0"/>
          <w:smallCaps w:val="0"/>
          <w:strike w:val="0"/>
          <w:color w:val="000000"/>
          <w:spacing w:val="0"/>
          <w:sz w:val="28"/>
          <w:szCs w:val="28"/>
          <w:u w:val="none"/>
        </w:rPr>
      </w:pPr>
    </w:p>
    <w:p w14:paraId="60BA11F3">
      <w:pPr>
        <w:pStyle w:val="170"/>
        <w:spacing w:before="0" w:after="0" w:line="276" w:lineRule="auto"/>
        <w:jc w:val="both"/>
        <w:rPr>
          <w:rFonts w:ascii="Arial" w:hAnsi="Arial" w:cs="Arial"/>
          <w:b w:val="0"/>
          <w:bCs w:val="0"/>
          <w:i/>
          <w:caps w:val="0"/>
          <w:smallCaps w:val="0"/>
          <w:strike w:val="0"/>
          <w:color w:val="000000"/>
          <w:spacing w:val="0"/>
          <w:sz w:val="28"/>
          <w:szCs w:val="28"/>
          <w:u w:val="none"/>
        </w:rPr>
      </w:pPr>
      <w:r>
        <w:rPr>
          <w:rFonts w:ascii="Book Antiqua" w:hAnsi="Book Antiqua" w:cs="Book Antiqua"/>
          <w:b w:val="0"/>
          <w:bCs w:val="0"/>
          <w:i w:val="0"/>
          <w:caps w:val="0"/>
          <w:smallCaps w:val="0"/>
          <w:strike w:val="0"/>
          <w:color w:val="000000"/>
          <w:spacing w:val="0"/>
          <w:sz w:val="18"/>
          <w:szCs w:val="18"/>
          <w:u w:val="none"/>
          <w:lang w:val="pt-BR" w:bidi="ar-SA"/>
        </w:rPr>
        <w:t>6.2.13. A PROPOSTA DE PREÇOS deverá ex</w:t>
      </w:r>
      <w:r>
        <w:rPr>
          <w:rFonts w:ascii="Book Antiqua" w:hAnsi="Book Antiqua" w:cs="Book Antiqua"/>
          <w:b w:val="0"/>
          <w:bCs w:val="0"/>
          <w:i w:val="0"/>
          <w:caps w:val="0"/>
          <w:smallCaps w:val="0"/>
          <w:strike w:val="0"/>
          <w:color w:val="000000"/>
          <w:spacing w:val="0"/>
          <w:sz w:val="18"/>
          <w:szCs w:val="18"/>
          <w:u w:val="none"/>
          <w:shd w:val="clear" w:color="auto" w:fill="FFFFFF"/>
          <w:lang w:val="pt-BR" w:bidi="ar-SA"/>
        </w:rPr>
        <w:t>pressar o valor total oferta</w:t>
      </w:r>
      <w:r>
        <w:rPr>
          <w:rFonts w:ascii="Book Antiqua" w:hAnsi="Book Antiqua" w:cs="Book Antiqua"/>
          <w:b w:val="0"/>
          <w:bCs w:val="0"/>
          <w:i w:val="0"/>
          <w:caps w:val="0"/>
          <w:smallCaps w:val="0"/>
          <w:strike w:val="0"/>
          <w:color w:val="000000"/>
          <w:spacing w:val="0"/>
          <w:sz w:val="18"/>
          <w:szCs w:val="18"/>
          <w:u w:val="none"/>
          <w:lang w:val="pt-BR" w:bidi="ar-SA"/>
        </w:rPr>
        <w:t>do, em Real, em algarismos e por extenso, vedado valor total superior ao ETP/Projeto Básico — casos em desconformidade serão sumariamente desclassificados.</w:t>
      </w:r>
    </w:p>
    <w:p w14:paraId="5F507AE3">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6673609F">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6.2.14.</w:t>
      </w:r>
      <w:r>
        <w:rPr>
          <w:rFonts w:ascii="Book Antiqua" w:hAnsi="Book Antiqua" w:cs="Book Antiqua"/>
          <w:b/>
          <w:i w:val="0"/>
          <w:caps w:val="0"/>
          <w:smallCaps w:val="0"/>
          <w:strike w:val="0"/>
          <w:color w:val="000000"/>
          <w:spacing w:val="0"/>
          <w:sz w:val="18"/>
          <w:szCs w:val="18"/>
          <w:u w:val="none"/>
          <w:shd w:val="clear" w:color="auto" w:fill="FFFFFF"/>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A Proposta, as Planilhas e o Cronograma deverão estar devidamente identificado o </w:t>
      </w:r>
      <w:r>
        <w:rPr>
          <w:rFonts w:ascii="Book Antiqua" w:hAnsi="Book Antiqua" w:cs="Book Antiqua"/>
          <w:b w:val="0"/>
          <w:i w:val="0"/>
          <w:caps w:val="0"/>
          <w:smallCaps w:val="0"/>
          <w:strike w:val="0"/>
          <w:color w:val="000000"/>
          <w:spacing w:val="0"/>
          <w:sz w:val="18"/>
          <w:szCs w:val="18"/>
          <w:u w:val="single"/>
          <w:shd w:val="clear" w:color="auto" w:fill="FFFFFF"/>
          <w:lang w:val="pt-BR" w:bidi="ar-SA"/>
        </w:rPr>
        <w:t>Responsável Técnico da licitante</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em todas as suas folhas bem como seu número de registro junto a Conselho de Classe.</w:t>
      </w:r>
    </w:p>
    <w:p w14:paraId="3477A4D6">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8A6F690">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6.2.15.</w:t>
      </w:r>
      <w:r>
        <w:rPr>
          <w:rFonts w:ascii="Book Antiqua" w:hAnsi="Book Antiqua" w:cs="Book Antiqua"/>
          <w:b/>
          <w:i w:val="0"/>
          <w:caps w:val="0"/>
          <w:smallCaps w:val="0"/>
          <w:strike w:val="0"/>
          <w:color w:val="000000"/>
          <w:spacing w:val="0"/>
          <w:sz w:val="18"/>
          <w:szCs w:val="18"/>
          <w:u w:val="none"/>
          <w:shd w:val="clear" w:color="auto" w:fill="FFFFFF"/>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Cronograma Financeiro que demonstra as condições de pagamento proposto por esta Prefeitura que será conforme medição e de acordo com a apresentação das respectivas notas fiscais e demais aspectos fixados pela Administração no Estudo Técnico Preliminar – ETP, Projeto Básico, ajustado à proposta apresentada, com a indicação do Responsável Técnico e nº de Registro no Conselho competente </w:t>
      </w:r>
      <w:r>
        <w:rPr>
          <w:rFonts w:ascii="Book Antiqua" w:hAnsi="Book Antiqua" w:cs="Book Antiqua"/>
          <w:b w:val="0"/>
          <w:i w:val="0"/>
          <w:caps w:val="0"/>
          <w:smallCaps w:val="0"/>
          <w:strike w:val="0"/>
          <w:color w:val="000000"/>
          <w:spacing w:val="0"/>
          <w:sz w:val="18"/>
          <w:szCs w:val="18"/>
          <w:u w:val="single"/>
          <w:shd w:val="clear" w:color="auto" w:fill="FFFFFF"/>
          <w:lang w:val="pt-BR" w:bidi="ar-SA"/>
        </w:rPr>
        <w:t>em todas suas folhas.</w:t>
      </w:r>
    </w:p>
    <w:p w14:paraId="42FD3DD5">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0C49671A">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6.2.16. Serão desclassificadas as propostas que não atenderem às especificações e exigências do presente Edital e seus Anexos ou que apresentem omissões, irregularidades ou defeitos capazes de dificultar o julgamento.</w:t>
      </w:r>
    </w:p>
    <w:p w14:paraId="7E8B1D97">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41A4CCD3">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6.2.17. Erros no preenchimento da planilha por si só não constituirão motivo para a desclassificação da proposta. A planilha poderá ser ajustada pelo licitante, no prazo indicado pelo Agente de Contratação, desde que não haja majoração do preço proposto.</w:t>
      </w:r>
    </w:p>
    <w:p w14:paraId="63F2A6FA">
      <w:pPr>
        <w:pStyle w:val="200"/>
        <w:spacing w:before="0" w:after="0" w:line="276" w:lineRule="auto"/>
        <w:ind w:left="426" w:right="0" w:firstLine="0"/>
        <w:rPr>
          <w:rFonts w:ascii="Arial" w:hAnsi="Arial" w:cs="Arial"/>
          <w:b w:val="0"/>
          <w:i w:val="0"/>
          <w:caps w:val="0"/>
          <w:smallCaps w:val="0"/>
          <w:strike w:val="0"/>
          <w:color w:val="000000"/>
          <w:spacing w:val="0"/>
          <w:sz w:val="22"/>
          <w:szCs w:val="22"/>
          <w:u w:val="none"/>
          <w:shd w:val="clear" w:color="auto" w:fill="FFFFFF"/>
          <w:lang w:val="pt-BR" w:bidi="ar-SA"/>
        </w:rPr>
      </w:pPr>
    </w:p>
    <w:p w14:paraId="0F8F2883">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6.2.17.1. Recusas em realizar as correções, solicitadas pelo Agente de Contratação no ato da sessão não serão aceitais, podendo levar a desclassificação da licitante e esta ficará sujeita à aplicação de sanções administrativas previstas neste edital e na legislação aplicável.</w:t>
      </w:r>
    </w:p>
    <w:p w14:paraId="40918011">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7BE5E58A">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6.2.18. Após a apresentação da proposta, as licitantes não poderão alegar que o valor ofertado é inexequível ou de que a cotação está incorreta, bem como a licitante vencedora deverá prestar os serviços sem ônus adicionais.</w:t>
      </w:r>
    </w:p>
    <w:p w14:paraId="47B75F9B">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6F6CD3A2">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6.2.19. Nos casos em que a licitante se negar a prestar os serviços, esta ficará sujeita à aplicação de sanções administrativas previstas neste edital e na legislação aplicável.</w:t>
      </w:r>
    </w:p>
    <w:p w14:paraId="03649C7F">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48532780">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6.2.20. A apresentação da proposta implicará a plena aceitação, por parte da licitante, das condições estabelecidas neste Edital e seus Anexos.</w:t>
      </w:r>
    </w:p>
    <w:p w14:paraId="6EC80C14">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2851842A">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6.2.21. Em nenhuma hipótese poderá ser alterado o conteúdo da proposta apresentada, sejam com relação a preço, pagamento, prazo ou qualquer condição que importe a modificação dos termos originais, ressalvadas apenas aqueles destinados a sanar evidentes erros formais, alterações essas que serão avaliadas pela autoridade competente.</w:t>
      </w:r>
    </w:p>
    <w:p w14:paraId="08F8AA1E">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9FDC655">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6.2.22. O Agente de Contratação considerará erros formais de somatórios e outros aspectos que beneficiem a Administração Pública e não impliquem nulidade do procedimento, como sendo exigências formais e consequentemente classificará a empresa.</w:t>
      </w:r>
    </w:p>
    <w:p w14:paraId="5A94F54A">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AA7E5EC">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6.2.22.1. Poderá ser concedida aos licitantes prazo para correções da proposta e planilha de preço, que apresentarem erros ou inconsistências, num prazo não superior a 24 (vinte e quatro) horas.</w:t>
      </w:r>
    </w:p>
    <w:p w14:paraId="4A860697">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7A32776">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6.2.23. Independente de declaração expressa, a simples apresentação da proposta implica submissão a todas as condições estipuladas nesta licitação e seus anexos.</w:t>
      </w:r>
    </w:p>
    <w:p w14:paraId="3543D0AA">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1E7E25F7">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6.2.24. Se a proposta não estiver completa e correta ou contrariar qualquer dispositivo deste Edital e seus Anexos, o(a) Agente de Contratação considerará a proponente desclassificada.</w:t>
      </w:r>
    </w:p>
    <w:p w14:paraId="6E1A0E0F">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p>
    <w:p w14:paraId="70C93490">
      <w:pPr>
        <w:pStyle w:val="200"/>
        <w:spacing w:before="0" w:after="0" w:line="276" w:lineRule="auto"/>
        <w:rPr>
          <w:rFonts w:ascii="Arial" w:hAnsi="Arial" w:cs="Arial"/>
          <w:b w:val="0"/>
          <w:i w:val="0"/>
          <w:caps w:val="0"/>
          <w:smallCaps w:val="0"/>
          <w:strike w:val="0"/>
          <w:color w:val="000000"/>
          <w:spacing w:val="0"/>
          <w:sz w:val="22"/>
          <w:szCs w:val="22"/>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6.2.25. A sessão pública poderá ser suspensa, por prazo a ser definido na própria sessão, pelo Agente de Contratação.</w:t>
      </w:r>
    </w:p>
    <w:p w14:paraId="731906E5">
      <w:pPr>
        <w:pStyle w:val="146"/>
        <w:spacing w:line="276" w:lineRule="auto"/>
        <w:rPr>
          <w:rFonts w:ascii="Arial" w:hAnsi="Arial" w:cs="Arial"/>
          <w:b/>
          <w:i w:val="0"/>
          <w:caps w:val="0"/>
          <w:smallCaps w:val="0"/>
          <w:strike w:val="0"/>
          <w:color w:val="000000"/>
          <w:spacing w:val="0"/>
          <w:sz w:val="24"/>
          <w:szCs w:val="20"/>
          <w:u w:val="none"/>
          <w:lang w:val="pt-BR" w:bidi="ar-SA"/>
        </w:rPr>
      </w:pPr>
    </w:p>
    <w:p w14:paraId="64A53FC5">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6.2.26. A licitante não deverá embutir em sua proposta qualquer expectativa inflacionária, tendo em vista a estabilidade econômica do país e o exíguo prazo para execução das obras/serviços.</w:t>
      </w:r>
    </w:p>
    <w:p w14:paraId="0A8F6D27">
      <w:pPr>
        <w:pStyle w:val="146"/>
        <w:spacing w:line="276" w:lineRule="auto"/>
        <w:rPr>
          <w:rFonts w:ascii="Arial" w:hAnsi="Arial" w:cs="Arial"/>
          <w:b/>
          <w:i w:val="0"/>
          <w:caps w:val="0"/>
          <w:smallCaps w:val="0"/>
          <w:strike w:val="0"/>
          <w:color w:val="000000"/>
          <w:spacing w:val="0"/>
          <w:sz w:val="24"/>
          <w:szCs w:val="20"/>
          <w:u w:val="none"/>
          <w:lang w:val="pt-BR" w:bidi="ar-SA"/>
        </w:rPr>
      </w:pPr>
    </w:p>
    <w:p w14:paraId="42B8234A">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6.2.27. A proposta da licitante deverá ser elaborada levando-se em consideração que as obras/serviços deverão ser entregues e em perfeitas condições de funcionamento.</w:t>
      </w:r>
    </w:p>
    <w:p w14:paraId="72F16CE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p>
    <w:p w14:paraId="4B258B7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shd w:val="clear" w:color="auto" w:fill="FFFF00"/>
          <w:lang w:val="pt-BR" w:bidi="ar-SA"/>
        </w:rPr>
        <w:t xml:space="preserve">6.2.28. O </w:t>
      </w:r>
      <w:r>
        <w:rPr>
          <w:rFonts w:ascii="Book Antiqua" w:hAnsi="Book Antiqua" w:cs="Book Antiqua"/>
          <w:b w:val="0"/>
          <w:i w:val="0"/>
          <w:caps w:val="0"/>
          <w:smallCaps w:val="0"/>
          <w:strike w:val="0"/>
          <w:color w:val="000000"/>
          <w:spacing w:val="0"/>
          <w:sz w:val="18"/>
          <w:szCs w:val="18"/>
          <w:u w:val="none"/>
          <w:shd w:val="clear" w:color="auto" w:fill="FFFF00"/>
          <w:lang w:val="pt-BR" w:bidi="ar-SA"/>
        </w:rPr>
        <w:t>valor estimado</w:t>
      </w:r>
      <w:r>
        <w:rPr>
          <w:rFonts w:ascii="Book Antiqua" w:hAnsi="Book Antiqua" w:cs="Book Antiqua"/>
          <w:b/>
          <w:i w:val="0"/>
          <w:caps w:val="0"/>
          <w:smallCaps w:val="0"/>
          <w:strike w:val="0"/>
          <w:color w:val="000000"/>
          <w:spacing w:val="0"/>
          <w:sz w:val="18"/>
          <w:szCs w:val="18"/>
          <w:u w:val="none"/>
          <w:shd w:val="clear" w:color="auto" w:fill="FFFF00"/>
          <w:lang w:val="pt-BR" w:bidi="ar-SA"/>
        </w:rPr>
        <w:t xml:space="preserve"> da contratação é de </w:t>
      </w:r>
      <w:bookmarkStart w:id="1" w:name="_Hlk205891906"/>
      <w:r>
        <w:rPr>
          <w:rFonts w:ascii="Book Antiqua" w:hAnsi="Book Antiqua" w:cs="Book Antiqua"/>
          <w:b/>
          <w:i w:val="0"/>
          <w:caps w:val="0"/>
          <w:smallCaps w:val="0"/>
          <w:strike w:val="0"/>
          <w:color w:val="000000"/>
          <w:spacing w:val="0"/>
          <w:sz w:val="18"/>
          <w:szCs w:val="18"/>
          <w:u w:val="none"/>
          <w:shd w:val="clear" w:color="auto" w:fill="FFFF00"/>
          <w:lang w:val="pt-BR" w:bidi="ar-SA"/>
        </w:rPr>
        <w:t>R$ 18.229.513,68 (Dezoito Milhões e Duzentos e Vinte e Nove Mil e Quinhentos e Treze Reais e Sessenta e Oito Centavos)</w:t>
      </w:r>
      <w:bookmarkEnd w:id="1"/>
      <w:r>
        <w:rPr>
          <w:rFonts w:ascii="Book Antiqua" w:hAnsi="Book Antiqua" w:cs="Book Antiqua"/>
          <w:b/>
          <w:i w:val="0"/>
          <w:caps w:val="0"/>
          <w:smallCaps w:val="0"/>
          <w:strike w:val="0"/>
          <w:color w:val="000000"/>
          <w:spacing w:val="0"/>
          <w:sz w:val="18"/>
          <w:szCs w:val="18"/>
          <w:u w:val="none"/>
          <w:shd w:val="clear" w:color="auto" w:fill="FFFF00"/>
          <w:lang w:val="pt-BR" w:bidi="ar-SA"/>
        </w:rPr>
        <w:t xml:space="preserve">, </w:t>
      </w:r>
      <w:r>
        <w:rPr>
          <w:rFonts w:ascii="Book Antiqua" w:hAnsi="Book Antiqua" w:cs="Book Antiqua"/>
          <w:b w:val="0"/>
          <w:i w:val="0"/>
          <w:caps w:val="0"/>
          <w:smallCaps w:val="0"/>
          <w:strike w:val="0"/>
          <w:color w:val="000000"/>
          <w:spacing w:val="0"/>
          <w:sz w:val="18"/>
          <w:szCs w:val="18"/>
          <w:u w:val="none"/>
          <w:shd w:val="clear" w:color="auto" w:fill="FFFF00"/>
          <w:lang w:val="pt-BR" w:bidi="ar-SA"/>
        </w:rPr>
        <w:t>não podendo a licitante apresentar proposta com valor superior</w:t>
      </w:r>
      <w:r>
        <w:rPr>
          <w:rFonts w:ascii="Book Antiqua" w:hAnsi="Book Antiqua" w:cs="Book Antiqua"/>
          <w:b/>
          <w:i w:val="0"/>
          <w:caps w:val="0"/>
          <w:smallCaps w:val="0"/>
          <w:strike w:val="0"/>
          <w:color w:val="000000"/>
          <w:spacing w:val="0"/>
          <w:sz w:val="18"/>
          <w:szCs w:val="18"/>
          <w:u w:val="none"/>
          <w:shd w:val="clear" w:color="auto" w:fill="FFFF00"/>
          <w:lang w:val="pt-BR" w:bidi="ar-SA"/>
        </w:rPr>
        <w:t xml:space="preserve"> ao orçado pela Prefeitura, conforme o </w:t>
      </w:r>
      <w:r>
        <w:rPr>
          <w:rFonts w:ascii="Book Antiqua" w:hAnsi="Book Antiqua" w:cs="Book Antiqua"/>
          <w:b w:val="0"/>
          <w:i w:val="0"/>
          <w:caps w:val="0"/>
          <w:smallCaps w:val="0"/>
          <w:strike w:val="0"/>
          <w:color w:val="000000"/>
          <w:spacing w:val="0"/>
          <w:sz w:val="18"/>
          <w:szCs w:val="18"/>
          <w:u w:val="none"/>
          <w:shd w:val="clear" w:color="auto" w:fill="FFFF00"/>
          <w:lang w:val="pt-BR" w:bidi="ar-SA"/>
        </w:rPr>
        <w:t>Projeto Básico nº 012/2026.</w:t>
      </w:r>
    </w:p>
    <w:p w14:paraId="6043C878">
      <w:pPr>
        <w:pStyle w:val="146"/>
        <w:spacing w:line="276" w:lineRule="auto"/>
        <w:rPr>
          <w:rFonts w:ascii="Arial" w:hAnsi="Arial" w:cs="Arial"/>
          <w:b/>
          <w:i w:val="0"/>
          <w:caps w:val="0"/>
          <w:smallCaps w:val="0"/>
          <w:strike w:val="0"/>
          <w:color w:val="000000"/>
          <w:spacing w:val="0"/>
          <w:sz w:val="24"/>
          <w:szCs w:val="20"/>
          <w:u w:val="none"/>
          <w:lang w:val="pt-BR" w:bidi="ar-SA"/>
        </w:rPr>
      </w:pPr>
    </w:p>
    <w:p w14:paraId="7B6734A7">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 xml:space="preserve">6.2.29. O </w:t>
      </w:r>
      <w:r>
        <w:rPr>
          <w:rFonts w:ascii="Book Antiqua" w:hAnsi="Book Antiqua" w:cs="Book Antiqua"/>
          <w:b/>
          <w:i w:val="0"/>
          <w:caps w:val="0"/>
          <w:smallCaps w:val="0"/>
          <w:strike w:val="0"/>
          <w:color w:val="000000"/>
          <w:spacing w:val="0"/>
          <w:sz w:val="18"/>
          <w:szCs w:val="18"/>
          <w:u w:val="single"/>
          <w:lang w:val="pt-BR" w:bidi="ar-SA"/>
        </w:rPr>
        <w:t>valor máximo da contratação</w:t>
      </w:r>
      <w:r>
        <w:rPr>
          <w:rFonts w:ascii="Book Antiqua" w:hAnsi="Book Antiqua" w:cs="Book Antiqua"/>
          <w:b w:val="0"/>
          <w:i w:val="0"/>
          <w:caps w:val="0"/>
          <w:smallCaps w:val="0"/>
          <w:strike w:val="0"/>
          <w:color w:val="000000"/>
          <w:spacing w:val="0"/>
          <w:sz w:val="18"/>
          <w:szCs w:val="18"/>
          <w:u w:val="single"/>
          <w:lang w:val="pt-BR" w:bidi="ar-SA"/>
        </w:rPr>
        <w:t xml:space="preserve"> é o constante na </w:t>
      </w:r>
      <w:r>
        <w:rPr>
          <w:rFonts w:ascii="Book Antiqua" w:hAnsi="Book Antiqua" w:cs="Book Antiqua"/>
          <w:b/>
          <w:i w:val="0"/>
          <w:caps w:val="0"/>
          <w:smallCaps w:val="0"/>
          <w:strike w:val="0"/>
          <w:color w:val="000000"/>
          <w:spacing w:val="0"/>
          <w:sz w:val="18"/>
          <w:szCs w:val="18"/>
          <w:u w:val="single"/>
          <w:lang w:val="pt-BR" w:bidi="ar-SA"/>
        </w:rPr>
        <w:t>planilha orçamentária integrante do Projeto Básico</w:t>
      </w:r>
      <w:r>
        <w:rPr>
          <w:rFonts w:ascii="Book Antiqua" w:hAnsi="Book Antiqua" w:cs="Book Antiqua"/>
          <w:b w:val="0"/>
          <w:i w:val="0"/>
          <w:caps w:val="0"/>
          <w:smallCaps w:val="0"/>
          <w:strike w:val="0"/>
          <w:color w:val="000000"/>
          <w:spacing w:val="0"/>
          <w:sz w:val="18"/>
          <w:szCs w:val="18"/>
          <w:u w:val="single"/>
          <w:lang w:val="pt-BR" w:bidi="ar-SA"/>
        </w:rPr>
        <w:t xml:space="preserve">, parte integrante deste Edital, </w:t>
      </w:r>
      <w:r>
        <w:rPr>
          <w:rFonts w:ascii="Book Antiqua" w:hAnsi="Book Antiqua" w:cs="Book Antiqua"/>
          <w:b/>
          <w:i w:val="0"/>
          <w:caps w:val="0"/>
          <w:smallCaps w:val="0"/>
          <w:strike w:val="0"/>
          <w:color w:val="000000"/>
          <w:spacing w:val="0"/>
          <w:sz w:val="18"/>
          <w:szCs w:val="18"/>
          <w:u w:val="single"/>
          <w:lang w:val="pt-BR" w:bidi="ar-SA"/>
        </w:rPr>
        <w:t>não sendo admitida proposta com valores superiores aos estimados pela Administração</w:t>
      </w:r>
      <w:r>
        <w:rPr>
          <w:rFonts w:ascii="Book Antiqua" w:hAnsi="Book Antiqua" w:cs="Book Antiqua"/>
          <w:b w:val="0"/>
          <w:i w:val="0"/>
          <w:caps w:val="0"/>
          <w:smallCaps w:val="0"/>
          <w:strike w:val="0"/>
          <w:color w:val="000000"/>
          <w:spacing w:val="0"/>
          <w:sz w:val="18"/>
          <w:szCs w:val="18"/>
          <w:u w:val="single"/>
          <w:lang w:val="pt-BR" w:bidi="ar-SA"/>
        </w:rPr>
        <w:t xml:space="preserve">, em observância ao </w:t>
      </w:r>
      <w:r>
        <w:rPr>
          <w:rFonts w:ascii="Book Antiqua" w:hAnsi="Book Antiqua" w:cs="Book Antiqua"/>
          <w:b/>
          <w:i w:val="0"/>
          <w:caps w:val="0"/>
          <w:smallCaps w:val="0"/>
          <w:strike w:val="0"/>
          <w:color w:val="000000"/>
          <w:spacing w:val="0"/>
          <w:sz w:val="18"/>
          <w:szCs w:val="18"/>
          <w:u w:val="single"/>
          <w:lang w:val="pt-BR" w:bidi="ar-SA"/>
        </w:rPr>
        <w:t>art. 23, §1º, da Lei nº 14.133/2021</w:t>
      </w:r>
      <w:r>
        <w:rPr>
          <w:rFonts w:ascii="Book Antiqua" w:hAnsi="Book Antiqua" w:cs="Book Antiqua"/>
          <w:b w:val="0"/>
          <w:i w:val="0"/>
          <w:caps w:val="0"/>
          <w:smallCaps w:val="0"/>
          <w:strike w:val="0"/>
          <w:color w:val="000000"/>
          <w:spacing w:val="0"/>
          <w:sz w:val="18"/>
          <w:szCs w:val="18"/>
          <w:u w:val="single"/>
          <w:lang w:val="pt-BR" w:bidi="ar-SA"/>
        </w:rPr>
        <w:t xml:space="preserve">.                                                                                                                                                                                                                                                                                                                                                                                                                                                                                                                                                                                                                                                                                                                                                                                                                                                                                                                                                                                                                                                                                                                                                                                                                                                                                                                                                                                                                                                                                                                                                                                                                                     </w:t>
      </w:r>
    </w:p>
    <w:p w14:paraId="3189B5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F3CA06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6.2.30. DA ACEITABILIDADE DOS PREÇOS</w:t>
      </w:r>
    </w:p>
    <w:p w14:paraId="084DF05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E45F69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6.2.30.1. As propostas de preços, que compreendem a descrição, de forma clara e específica do material ou serviço ofertado pela Licitante, preço unitário e preço total, deverá ser compatível com as especificações constantes no Projeto Básico e seus anexos, em observância ao disposto no Art. 29 da Instrução Normativa </w:t>
      </w:r>
      <w:r>
        <w:fldChar w:fldCharType="begin"/>
      </w:r>
      <w:r>
        <w:instrText xml:space="preserve"> HYPERLINK \l "ttps://www.gov.br/compras/pt-br/acesso-a-informacao/legislacao/instrucoes-normativas/instrucao-normativa-seges-me-no-73-de-30-de-setembro-de-2022" \o "#ttps://www.gov.br/compras/pt-br/acesso-a-informacao/legislacao/instrucoes-normativas/instrucao-normativa-seges-me-no-73-de-30-de-setembro-de-2022"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IN SEGES/ME nº 73, de 2022</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72145255">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19DD5D52">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6.2.30.2. A licitante não poderá apresentar preços superiores aos estabelecidos no orçamento referencial da Administração Pública, seja quanto aos insumos, serviços individuais ou valor total da obra/serviço. Não serão permitidas alterações nas quantidades, coeficientes ou exclusões de itens constantes das composições de preços unitários. O valor total da proposta não poderá ser superior ao orçamento estimado pela Administração, acrescido do BDI (Bonificações e Despesas Indiretas).</w:t>
      </w:r>
    </w:p>
    <w:p w14:paraId="43449586">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2FE32855">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6.2.30.3. A licitante deverá apresentar demonstrativo das Composições de Preços Unitários (analítica), Composição do BDI (Bonificações e Despesas Indiretas) e planilha de Encargos Sociais, conforme o disposto no art. 56, inciso II, §5º, da Lei nº 14.133/2021.</w:t>
      </w:r>
    </w:p>
    <w:p w14:paraId="50BF955F">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6821E4C9">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6.2.30.4. A licitante deverá apresentar cronograma físico-financeiro detalhado de execução das obras e serviços, relacionado ao objeto, com periodicidade mensal, observando as condições constantes no Projeto Básico e demais anexos.</w:t>
      </w:r>
    </w:p>
    <w:p w14:paraId="54257E4B">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3A0EF1D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6.2.30.5. Recomenda-se que a licitante utilize, para a elaboração das planilhas, a função de truncamento “TRUNCAR” com duas casas decimais em todas as operações matemáticas, a fim de evitar divergências ou correções futuras na proposta de preços.</w:t>
      </w:r>
    </w:p>
    <w:p w14:paraId="781C9A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AA7A4EE">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6.3. DOCUMENTAÇÃO DE HABILITAÇÃO</w:t>
      </w:r>
    </w:p>
    <w:p w14:paraId="383B64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C281A2A">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 Os documentos previstos neste Edital e no Termo de Referência são necessários e suficientes para demonstrar a capacidade do licitante de realizar o objeto da licitação, e serão exigidos para fins de habilitação, nos termos dos arts. 62 e 70 da Lei nº 14.133/2021.</w:t>
      </w:r>
    </w:p>
    <w:p w14:paraId="5D26BF22">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14448F2D">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6.3.1.1. A documentação exigida para fins de habilitação jurídica, fiscal, trabalhista, econômico-financeira e técnica deverá ser enviada obrigatoriamente pelo sistema eletrônico oficial adotado pela Prefeitura Municipal de Rondonópolis/MT (BLLCOMPRAS.COM), nos termos do Decreto Municipal nº 11.685/2023.</w:t>
      </w:r>
    </w:p>
    <w:p w14:paraId="7A8C1D5D">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0B313849">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6.3.1.2. A habilitação será verificada por meio dos documentos cadastrados na BLLCOMPRAS.COM.</w:t>
      </w:r>
    </w:p>
    <w:p w14:paraId="731923B0">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63230F57">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6.3.1.3. Somente haverá necessidade de apresentação de documentos originais não digitais quando houver dúvida quanto à integridade do documento eletrônico ou quando a lei expressamente o exigir.</w:t>
      </w:r>
    </w:p>
    <w:p w14:paraId="03F0933D">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5EE24C9B">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6.3.1.4. É de responsabilidade do licitante conferir a exatidão dos seus dados cadastrais na Plataforma Eletrônica constante na página eletrônica da BLL – Bolsa de Licitações e Leilões (BLLCOMPRAS.COM) e mantê-los atualizados, devendo proceder, imediatamente, à correção ou à alteração dos registros tão logo identifique incorreção ou aqueles se tornem desatualizados.</w:t>
      </w:r>
    </w:p>
    <w:p w14:paraId="79AAF2BC">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172C8B49">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6.3.1.5. A verificação pelo Agente de Contratação, em sítios eletrônicos oficiais de órgãos e entidades emissores de certidões, constitui meio legal de prova para fins de habilitação (art. 63, §2º, Lei nº 14.133/2021).</w:t>
      </w:r>
    </w:p>
    <w:p w14:paraId="17F439FE">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07ECF6C5">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6.3.1.6. Os documentos exigidos para habilitação que não estejam previamente cadastrados na BLLCOMPRAS.COM deverão ser enviados em formato digital pelo sistema, no prazo estipulado pelo Agente de Contratação, podendo ser prorrogado uma única vez, desde que a justificativa seja devidamente fundamentada e aceita.</w:t>
      </w:r>
    </w:p>
    <w:p w14:paraId="73F5ED68">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34EEF321">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6.3.1.7. A verificação da documentação de habilitação será realizada após o julgamento das propostas e lances, exclusivamente em relação à licitante melhor classificada.</w:t>
      </w:r>
    </w:p>
    <w:p w14:paraId="1CBF9F96">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37E24C42">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6.3.1.8. Após o envio e análise dos documentos para habilitação, não será permitida a substituição ou a apresentação de novos documentos, salvo em sede de diligência, para:</w:t>
      </w:r>
    </w:p>
    <w:p w14:paraId="6055F12C">
      <w:pPr>
        <w:pStyle w:val="143"/>
        <w:jc w:val="both"/>
        <w:rPr>
          <w:rFonts w:ascii="Times New Roman" w:hAnsi="Times New Roman" w:cs="Times New Roman"/>
          <w:b w:val="0"/>
          <w:i w:val="0"/>
          <w:caps w:val="0"/>
          <w:smallCaps w:val="0"/>
          <w:strike w:val="0"/>
          <w:color w:val="000000"/>
          <w:spacing w:val="0"/>
          <w:sz w:val="20"/>
          <w:szCs w:val="20"/>
          <w:u w:val="none"/>
          <w:lang w:val="pt-BR" w:bidi="ar-SA"/>
        </w:rPr>
      </w:pPr>
    </w:p>
    <w:p w14:paraId="27A0A190">
      <w:pPr>
        <w:pStyle w:val="143"/>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6.3.1.9. Complementação de informações acerca dos documentos já apresentados, desde que necessária para apurar fatos existentes à época da abertura do certame, ou para sanar vícios formais, erros de conteúdo ou prazos de validade expirados após a abertura da sessão (art. 64 da Lei nº 14.133/2021).</w:t>
      </w:r>
    </w:p>
    <w:p w14:paraId="5A3508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367450">
      <w:pPr>
        <w:pStyle w:val="143"/>
        <w:pBdr>
          <w:top w:val="single" w:color="000000" w:sz="4" w:space="0"/>
          <w:left w:val="single" w:color="000000" w:sz="4" w:space="0"/>
          <w:bottom w:val="single" w:color="000000" w:sz="4" w:space="0"/>
          <w:right w:val="single" w:color="000000" w:sz="4" w:space="0"/>
        </w:pBdr>
        <w:shd w:val="clear" w:color="auto" w:fill="E0E0E0"/>
        <w:spacing w:line="276" w:lineRule="auto"/>
        <w:ind w:left="-50" w:right="0" w:firstLine="0"/>
        <w:jc w:val="center"/>
        <w:rPr>
          <w:rFonts w:ascii="Times New Roman" w:hAnsi="Times New Roman" w:cs="Times New Roman"/>
          <w:b w:val="0"/>
          <w:i w:val="0"/>
          <w:caps w:val="0"/>
          <w:smallCaps w:val="0"/>
          <w:strike w:val="0"/>
          <w:color w:val="000000"/>
          <w:spacing w:val="0"/>
          <w:sz w:val="20"/>
          <w:szCs w:val="20"/>
          <w:u w:val="none"/>
        </w:rPr>
      </w:pPr>
      <w:r>
        <w:rPr>
          <w:rFonts w:ascii="Book Antiqua" w:hAnsi="Book Antiqua" w:cs="Book Antiqua"/>
          <w:b/>
          <w:i w:val="0"/>
          <w:caps w:val="0"/>
          <w:smallCaps w:val="0"/>
          <w:strike w:val="0"/>
          <w:color w:val="000000"/>
          <w:spacing w:val="0"/>
          <w:sz w:val="18"/>
          <w:szCs w:val="18"/>
          <w:u w:val="none"/>
          <w:lang w:val="pt-BR" w:bidi="ar-SA"/>
        </w:rPr>
        <w:t>6.4. HABILITAÇÃO JURÍDICA</w:t>
      </w:r>
    </w:p>
    <w:p w14:paraId="412A3FF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64994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6.4.1. Cédula de identidade do Sócio-Administrador e no caso de o Administrador não ser sócio, apresentar cédula de identidade de todo(s) o(s) sócio(s);</w:t>
      </w:r>
    </w:p>
    <w:p w14:paraId="2798623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0686FA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6.4.2. Registro comercial, no caso de empresa individual; ou</w:t>
      </w:r>
    </w:p>
    <w:p w14:paraId="2AC83FC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8A99C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6.4.3. Ato constitutivo, estatuto ou contrato social, devidamente registrado, </w:t>
      </w:r>
      <w:r>
        <w:rPr>
          <w:rFonts w:ascii="Book Antiqua" w:hAnsi="Book Antiqua" w:cs="Book Antiqua"/>
          <w:b/>
          <w:i w:val="0"/>
          <w:caps w:val="0"/>
          <w:smallCaps w:val="0"/>
          <w:strike w:val="0"/>
          <w:color w:val="000000"/>
          <w:spacing w:val="0"/>
          <w:sz w:val="18"/>
          <w:szCs w:val="18"/>
          <w:u w:val="none"/>
          <w:lang w:val="pt-BR" w:bidi="ar-SA"/>
        </w:rPr>
        <w:t>acompanhados de todas as alterações efetuadas ou da consolidação respectiva</w:t>
      </w:r>
      <w:r>
        <w:rPr>
          <w:rFonts w:ascii="Book Antiqua" w:hAnsi="Book Antiqua" w:cs="Book Antiqua"/>
          <w:b w:val="0"/>
          <w:i w:val="0"/>
          <w:caps w:val="0"/>
          <w:smallCaps w:val="0"/>
          <w:strike w:val="0"/>
          <w:color w:val="000000"/>
          <w:spacing w:val="0"/>
          <w:sz w:val="18"/>
          <w:szCs w:val="18"/>
          <w:u w:val="none"/>
          <w:lang w:val="pt-BR" w:bidi="ar-SA"/>
        </w:rPr>
        <w:t>, em se tratando de sociedade comercial, e, no caso de sociedade por ações, acompanhados dos documentos de eleição de seus administradores; ou</w:t>
      </w:r>
    </w:p>
    <w:p w14:paraId="4F49568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0D81AE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6.4.4. Inscrição do ato constitutivo, no caso de sociedades civis, acompanhada de prova de diretoria em exercício; ou</w:t>
      </w:r>
    </w:p>
    <w:p w14:paraId="60BD69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641890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6.4.5. Decreto de autorização, em se tratando de empresas ou sociedade estrangeira em funcionamento no País, e ato de registro ou autorização para funcionamento expedido pelo órgão competente, quando a atividade assim o exigir;</w:t>
      </w:r>
    </w:p>
    <w:p w14:paraId="6FC249DB">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55174CF7">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rPr>
      </w:pPr>
      <w:r>
        <w:rPr>
          <w:rFonts w:ascii="Book Antiqua" w:hAnsi="Book Antiqua" w:cs="Book Antiqua"/>
          <w:b/>
          <w:i w:val="0"/>
          <w:caps w:val="0"/>
          <w:smallCaps w:val="0"/>
          <w:strike w:val="0"/>
          <w:color w:val="000000"/>
          <w:spacing w:val="0"/>
          <w:sz w:val="18"/>
          <w:szCs w:val="18"/>
          <w:u w:val="none"/>
          <w:lang w:val="pt-BR" w:bidi="ar-SA"/>
        </w:rPr>
        <w:t>6.5. REGULARIDADE FISCAL</w:t>
      </w:r>
    </w:p>
    <w:p w14:paraId="4C3962CF">
      <w:pPr>
        <w:pStyle w:val="143"/>
        <w:spacing w:line="276" w:lineRule="auto"/>
        <w:ind w:left="0" w:right="0" w:hanging="1701"/>
        <w:jc w:val="both"/>
        <w:rPr>
          <w:rFonts w:ascii="Times New Roman" w:hAnsi="Times New Roman" w:cs="Times New Roman"/>
          <w:b w:val="0"/>
          <w:i w:val="0"/>
          <w:caps w:val="0"/>
          <w:smallCaps w:val="0"/>
          <w:strike w:val="0"/>
          <w:color w:val="000000"/>
          <w:spacing w:val="0"/>
          <w:sz w:val="20"/>
          <w:szCs w:val="20"/>
          <w:u w:val="none"/>
          <w:lang w:val="pt-BR" w:bidi="ar-SA"/>
        </w:rPr>
      </w:pPr>
    </w:p>
    <w:p w14:paraId="28C96CF7">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6.5.1 Prova de regularidade para com a Fazenda Federal, Estadual e Municipal do domicílio ou sede do licitante, compreendendo:</w:t>
      </w:r>
    </w:p>
    <w:p w14:paraId="37DBA902">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6CA35F6">
      <w:pPr>
        <w:pStyle w:val="143"/>
        <w:tabs>
          <w:tab w:val="left" w:pos="718"/>
          <w:tab w:val="left" w:pos="1416"/>
          <w:tab w:val="left" w:pos="2124"/>
          <w:tab w:val="left" w:pos="2831"/>
          <w:tab w:val="left" w:pos="3536"/>
          <w:tab w:val="left" w:pos="4246"/>
          <w:tab w:val="left" w:pos="4955"/>
          <w:tab w:val="left" w:pos="5663"/>
          <w:tab w:val="left" w:pos="6371"/>
          <w:tab w:val="left" w:pos="7080"/>
          <w:tab w:val="left" w:pos="7789"/>
          <w:tab w:val="left" w:pos="9070"/>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Prova de Regularidade com a Fazenda Federal, que deverá ser comprovada através da apresentação de Certidão de Regularidade de Tributos e Contribuições Federais e Certidão de Regularidade quanto à Dívida Ativa da União, expedidas pela Secretaria da Receita Federal e Procuradoria da Fazenda Nacional;</w:t>
      </w:r>
    </w:p>
    <w:p w14:paraId="4C8BE01C">
      <w:pPr>
        <w:pStyle w:val="180"/>
        <w:tabs>
          <w:tab w:val="center" w:pos="4108"/>
          <w:tab w:val="right" w:pos="8361"/>
          <w:tab w:val="clear" w:pos="4250"/>
          <w:tab w:val="clear" w:pos="8503"/>
        </w:tabs>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35AFE731">
      <w:pPr>
        <w:pStyle w:val="180"/>
        <w:tabs>
          <w:tab w:val="center" w:pos="4108"/>
          <w:tab w:val="right" w:pos="8361"/>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 Certidão Negativa da Fazenda Estadual, para as empresas sediadas no Estado de Mato Grosso, será aceita somente certidão com fins de Participação em Licitações Públicas;</w:t>
      </w:r>
    </w:p>
    <w:p w14:paraId="4476A176">
      <w:pPr>
        <w:pStyle w:val="180"/>
        <w:tabs>
          <w:tab w:val="center" w:pos="4108"/>
          <w:tab w:val="right" w:pos="8361"/>
          <w:tab w:val="clear" w:pos="4250"/>
          <w:tab w:val="clear" w:pos="8503"/>
        </w:tabs>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80A031C">
      <w:pPr>
        <w:pStyle w:val="180"/>
        <w:tabs>
          <w:tab w:val="center" w:pos="4108"/>
          <w:tab w:val="right" w:pos="8361"/>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 Certidão Negativa de Tributos Municipais, da sede da licitante;</w:t>
      </w:r>
    </w:p>
    <w:p w14:paraId="555671A0">
      <w:pPr>
        <w:pStyle w:val="180"/>
        <w:tabs>
          <w:tab w:val="center" w:pos="4108"/>
          <w:tab w:val="right" w:pos="8361"/>
          <w:tab w:val="clear" w:pos="4250"/>
          <w:tab w:val="clear" w:pos="8503"/>
        </w:tabs>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42BFA97D">
      <w:pPr>
        <w:pStyle w:val="180"/>
        <w:tabs>
          <w:tab w:val="center" w:pos="4108"/>
          <w:tab w:val="right" w:pos="8361"/>
          <w:tab w:val="clear" w:pos="4250"/>
          <w:tab w:val="clear" w:pos="8503"/>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 Certidão Negativa de Débito Trabalhista, perante a Justiça do Trabalho, redação dada pela Lei nº 12.440/2011;</w:t>
      </w:r>
    </w:p>
    <w:p w14:paraId="088B16AF">
      <w:pPr>
        <w:pStyle w:val="143"/>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3B45E7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e) Prova de inscrição no Cadastro Nacional de Pessoa Jurídica – CNPJ/MF;</w:t>
      </w:r>
    </w:p>
    <w:p w14:paraId="75AF2FB6">
      <w:pPr>
        <w:pStyle w:val="143"/>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58030D1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f) Inscrição no cadastro de Contribuintes Estadual e/ou Municipal, relativa à sede do licitante, pertinente ao seu ramo de atividade e compatível com o objeto contratual;</w:t>
      </w:r>
    </w:p>
    <w:p w14:paraId="5F5D118C">
      <w:pPr>
        <w:pStyle w:val="143"/>
        <w:spacing w:line="276" w:lineRule="auto"/>
        <w:ind w:left="142"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719F85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f.1) </w:t>
      </w:r>
      <w:r>
        <w:rPr>
          <w:rFonts w:ascii="Book Antiqua" w:hAnsi="Book Antiqua" w:cs="Book Antiqua"/>
          <w:b/>
          <w:i w:val="0"/>
          <w:caps w:val="0"/>
          <w:smallCaps w:val="0"/>
          <w:strike w:val="0"/>
          <w:color w:val="000000"/>
          <w:spacing w:val="0"/>
          <w:sz w:val="18"/>
          <w:szCs w:val="18"/>
          <w:u w:val="single"/>
          <w:lang w:val="pt-BR" w:bidi="ar-SA"/>
        </w:rPr>
        <w:t>A comprovação de inscrição de contribuinte poderá se dar através de Alvará de Localização e Funcionamento</w:t>
      </w:r>
      <w:r>
        <w:rPr>
          <w:rFonts w:ascii="Book Antiqua" w:hAnsi="Book Antiqua" w:cs="Book Antiqua"/>
          <w:b w:val="0"/>
          <w:i w:val="0"/>
          <w:caps w:val="0"/>
          <w:smallCaps w:val="0"/>
          <w:strike w:val="0"/>
          <w:color w:val="000000"/>
          <w:spacing w:val="0"/>
          <w:sz w:val="18"/>
          <w:szCs w:val="18"/>
          <w:u w:val="none"/>
          <w:lang w:val="pt-BR" w:bidi="ar-SA"/>
        </w:rPr>
        <w:t>.</w:t>
      </w:r>
    </w:p>
    <w:p w14:paraId="17138BDE">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6D1FA3F">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6.5.2. Prova de Regularidade relativa ao Fundo de Garantia por Tempo de Serviço (FGTS), e da Seguridade Social (INSS), demonstrando situação regular no cumprimento dos encargos sociais instituídos por lei, compreendendo:</w:t>
      </w:r>
    </w:p>
    <w:p w14:paraId="5FA0F9D0">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694D77E">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CRF do FGTS.</w:t>
      </w:r>
    </w:p>
    <w:p w14:paraId="3B06AD87">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7EFCD4A">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 CND do INSS.</w:t>
      </w:r>
    </w:p>
    <w:p w14:paraId="394939A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7FA19E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6.5.3. Declaração da licitante, em cumprimento ao disposto no inciso XXXIII do artigo 7º da Constituição Federal, Lei nº 9.854/99 e no Decreto nº 4.358/2002, de que não emprega menor de 18 (dezoito) anos em trabalho noturno, perigoso ou insalubre e não emprega menor de 16 (dezesseis) anos, salvo na condição de aprendiz, a partir de 14 (quatorze anos) – </w:t>
      </w:r>
      <w:r>
        <w:rPr>
          <w:rFonts w:ascii="Book Antiqua" w:hAnsi="Book Antiqua" w:cs="Book Antiqua"/>
          <w:b w:val="0"/>
          <w:i w:val="0"/>
          <w:caps w:val="0"/>
          <w:smallCaps w:val="0"/>
          <w:strike w:val="0"/>
          <w:color w:val="000000"/>
          <w:spacing w:val="0"/>
          <w:sz w:val="18"/>
          <w:szCs w:val="18"/>
          <w:u w:val="none"/>
          <w:lang w:val="pt-BR" w:bidi="ar-SA"/>
        </w:rPr>
        <w:t>ANEXO II.</w:t>
      </w:r>
    </w:p>
    <w:p w14:paraId="6B1068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B4D17E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6.5.4. A prova de regularidade deverá ser feita por Certidão Negativa ou Certidão Positiva com efeitos de Negativa;</w:t>
      </w:r>
    </w:p>
    <w:p w14:paraId="5FFC7D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90AAF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6.5.4.1. Considera-se Positiva com efeitos de Negativa a Certidão de que conste a existência de créditos não vencidos, em curso de cobrança executiva em que tenha sido efetivada a penhora; ou cuja exigibilidade esteja suspensa por moratória, ou depósito de seu montante integral, ou reclamações e recursos, nos termos das leis reguladoras do processo tributário administrativo ou concessão de medida liminar em mandado de segurança.</w:t>
      </w:r>
    </w:p>
    <w:p w14:paraId="56B495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8D01CBB">
      <w:pPr>
        <w:pStyle w:val="180"/>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rPr>
      </w:pPr>
      <w:r>
        <w:rPr>
          <w:rFonts w:ascii="Book Antiqua" w:hAnsi="Book Antiqua" w:cs="Book Antiqua"/>
          <w:b/>
          <w:i w:val="0"/>
          <w:caps w:val="0"/>
          <w:smallCaps w:val="0"/>
          <w:strike w:val="0"/>
          <w:color w:val="000000"/>
          <w:spacing w:val="0"/>
          <w:sz w:val="18"/>
          <w:szCs w:val="18"/>
          <w:u w:val="none"/>
          <w:lang w:val="pt-BR" w:bidi="ar-SA"/>
        </w:rPr>
        <w:t>6.6. QUALIFICAÇÃO ECONÔMICO – FINANCEIRA.</w:t>
      </w:r>
    </w:p>
    <w:p w14:paraId="435E1D8E">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E6B8E11">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6.6.1. Certidão negativa de falência ou recuperação judicial expedida pelo distribuidor da sede da licitante em plena validade, entregue no original, se houver determinação nesse sentido, em data não superior a 60 (sessenta) dias da data do certame.</w:t>
      </w:r>
    </w:p>
    <w:p w14:paraId="274CA2D2">
      <w:pPr>
        <w:pStyle w:val="180"/>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5D25A1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6.6.2. Balanço patrimonial e demonstrações contábeis dos dois últimos exercícios, já exigíveis e apresentados na forma da Lei, que comprovem a boa situação financeira da empresa, vedada a sua substituição por balancetes ou balanços provisórios, podendo ser atualizados por índices oficiais quando encerrados há mais de três meses da data de apresentação da proposta.</w:t>
      </w:r>
    </w:p>
    <w:p w14:paraId="4B2F49C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59251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6.6.2.1. Serão considerados aceitos como na forma da lei o balanço patrimonial e demonstrações contábeis assim apresentados:</w:t>
      </w:r>
    </w:p>
    <w:p w14:paraId="2F14F6C7">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54C6991C">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A – sociedades regidas pela Lei nº 6.404/76 (sociedade anônima):</w:t>
      </w:r>
    </w:p>
    <w:p w14:paraId="2B49ED0B">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publicados em Diário Oficial; ou</w:t>
      </w:r>
    </w:p>
    <w:p w14:paraId="39836BE5">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publicados em jornal de grande circulação; ou</w:t>
      </w:r>
    </w:p>
    <w:p w14:paraId="1D2AAF47">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por fotocópia registrada ou autenticada na Junta Comercial da sede ou domicílio do </w:t>
      </w:r>
      <w:r>
        <w:rPr>
          <w:rFonts w:ascii="Book Antiqua" w:hAnsi="Book Antiqua" w:cs="Book Antiqua"/>
          <w:b/>
          <w:i w:val="0"/>
          <w:caps w:val="0"/>
          <w:smallCaps w:val="0"/>
          <w:strike w:val="0"/>
          <w:color w:val="000000"/>
          <w:spacing w:val="0"/>
          <w:sz w:val="18"/>
          <w:szCs w:val="18"/>
          <w:u w:val="none"/>
          <w:lang w:val="pt-BR" w:bidi="ar-SA"/>
        </w:rPr>
        <w:t>licitante</w:t>
      </w:r>
      <w:r>
        <w:rPr>
          <w:rFonts w:ascii="Book Antiqua" w:hAnsi="Book Antiqua" w:cs="Book Antiqua"/>
          <w:b w:val="0"/>
          <w:i w:val="0"/>
          <w:caps w:val="0"/>
          <w:smallCaps w:val="0"/>
          <w:strike w:val="0"/>
          <w:color w:val="000000"/>
          <w:spacing w:val="0"/>
          <w:sz w:val="18"/>
          <w:szCs w:val="18"/>
          <w:u w:val="none"/>
          <w:lang w:val="pt-BR" w:bidi="ar-SA"/>
        </w:rPr>
        <w:t>.</w:t>
      </w:r>
    </w:p>
    <w:p w14:paraId="2531826C">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71615ABB">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B – sociedades por cota de responsabilidade limitada (LTDA):</w:t>
      </w:r>
    </w:p>
    <w:p w14:paraId="73A5A4E5">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por fotocópia do Balanço e das Demonstrações Contábeis, inclusive com os Termos de Abertura e de Encerramento do Livro Diário, devidamente autenticado na Junta Comercial da sede ou domicílio do </w:t>
      </w:r>
      <w:r>
        <w:rPr>
          <w:rFonts w:ascii="Book Antiqua" w:hAnsi="Book Antiqua" w:cs="Book Antiqua"/>
          <w:b/>
          <w:i w:val="0"/>
          <w:caps w:val="0"/>
          <w:smallCaps w:val="0"/>
          <w:strike w:val="0"/>
          <w:color w:val="000000"/>
          <w:spacing w:val="0"/>
          <w:sz w:val="18"/>
          <w:szCs w:val="18"/>
          <w:u w:val="none"/>
          <w:lang w:val="pt-BR" w:bidi="ar-SA"/>
        </w:rPr>
        <w:t>licitante</w:t>
      </w:r>
      <w:r>
        <w:rPr>
          <w:rFonts w:ascii="Book Antiqua" w:hAnsi="Book Antiqua" w:cs="Book Antiqua"/>
          <w:b w:val="0"/>
          <w:i w:val="0"/>
          <w:caps w:val="0"/>
          <w:smallCaps w:val="0"/>
          <w:strike w:val="0"/>
          <w:color w:val="000000"/>
          <w:spacing w:val="0"/>
          <w:sz w:val="18"/>
          <w:szCs w:val="18"/>
          <w:u w:val="none"/>
          <w:lang w:val="pt-BR" w:bidi="ar-SA"/>
        </w:rPr>
        <w:t xml:space="preserve"> ou em outro órgão equivalente. </w:t>
      </w:r>
      <w:r>
        <w:rPr>
          <w:rFonts w:ascii="Book Antiqua" w:hAnsi="Book Antiqua" w:cs="Book Antiqua"/>
          <w:b/>
          <w:i w:val="0"/>
          <w:caps w:val="0"/>
          <w:smallCaps w:val="0"/>
          <w:strike w:val="0"/>
          <w:color w:val="000000"/>
          <w:spacing w:val="0"/>
          <w:sz w:val="18"/>
          <w:szCs w:val="18"/>
          <w:u w:val="none"/>
          <w:lang w:val="pt-BR" w:bidi="ar-SA"/>
        </w:rPr>
        <w:t>(Observação, as Microempresa e Empresa de pequeno porte, não estão desobrigadas de apresentarem toda a qualificação econômica financeira exigida no edital )</w:t>
      </w:r>
    </w:p>
    <w:p w14:paraId="33F6172C">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106FB5E9">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 – sociedades e pessoas jurídicas constituídas há menos de 2 (dois) anos, deverão apresentar a documentação relativa ao último exercício social.</w:t>
      </w:r>
    </w:p>
    <w:p w14:paraId="7A446242">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6644F124">
      <w:pPr>
        <w:pStyle w:val="197"/>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6.6.3. O balanço patrimonial e as demonstrações contábeis deverão estar assinados por contador ou por outro profissional equivalente, devidamente registrado no Conselho Regional de Contabilidade.</w:t>
      </w:r>
    </w:p>
    <w:p w14:paraId="4A28D9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w:t>
      </w:r>
    </w:p>
    <w:p w14:paraId="3FBF25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6.6.4. A comprovação da boa situação econômico-financeiro da licitante será demonstrada com base nos seguintes parâmetros:</w:t>
      </w:r>
    </w:p>
    <w:p w14:paraId="40207E9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24C379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a) Índice de Liquidez Geral (LG), com valor igual ou superior a 1,00, onde:</w:t>
      </w:r>
    </w:p>
    <w:p w14:paraId="4CBA39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A04073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Ativo Circulante + Realizável a Longo Prazo</w:t>
      </w:r>
    </w:p>
    <w:p w14:paraId="17AD27A3">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LG= --------------------------------------------------------------</w:t>
      </w:r>
    </w:p>
    <w:p w14:paraId="34DA976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Passivo Circulante + Exigível a Longo Prazo</w:t>
      </w:r>
    </w:p>
    <w:p w14:paraId="2BF461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A18209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b) Índice de Solvência Geral (SG), com valor igual ou superior a 1,00, onde:</w:t>
      </w:r>
    </w:p>
    <w:p w14:paraId="2A5B08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8F71E8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Ativo Total</w:t>
      </w:r>
    </w:p>
    <w:p w14:paraId="5815F03F">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SG= --------------------------------------------------------------</w:t>
      </w:r>
    </w:p>
    <w:p w14:paraId="347C191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Passivo Circulante + Exigível a Longo Prazo</w:t>
      </w:r>
    </w:p>
    <w:p w14:paraId="2E18D7B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71628E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 Índice de Liquidez Corrente (LC), com valor igual ou superior a 1,00, onde:</w:t>
      </w:r>
    </w:p>
    <w:p w14:paraId="62018ED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EFAF95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Ativo Circulante</w:t>
      </w:r>
    </w:p>
    <w:p w14:paraId="10235E0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LC= -----------------------------------------------------------</w:t>
      </w:r>
    </w:p>
    <w:p w14:paraId="74B65CF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Passivo Circulante</w:t>
      </w:r>
    </w:p>
    <w:p w14:paraId="1B696A5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080E4D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6.6.5. Todos os quocientes referidos nos itens supracitados (a, b, c) deverão ser apresentados, iguais ou superiores a 1 nos índices Liquidez Geral, Liquidez Corrente e Solvência Geral.</w:t>
      </w:r>
    </w:p>
    <w:p w14:paraId="5591325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8FC85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6.6.6. Comprovação de capital ou de patrimônio líquido mínimo não inferior a 10% (dez por cento) do valor estimado da contratação, por meio do balanço patrimonial e das demonstrações contábeis dos dois últimos exercícios sociais, apresentados na forma da lei, vedada a substituição por balancetes ou balanços provisórios, podendo ser atualizados por índices oficiais quando encerrados há mais de 3 (três) meses da data da sessão pública de abertura do certame;</w:t>
      </w:r>
    </w:p>
    <w:p w14:paraId="7401AD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BA29A8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6.6.7. Declaração contendo a relação de compromissos assumidos, demonstrando que 1/12 (um doze avos) do valor total dos contratos firmados com a ADMINISTRAÇÃO PÚBLICA e/ou com a iniciativa privada, vigentes na data prevista para apresentação da proposta, não é superior a 100% (cem por cento) do patrimônio líquido, podendo este ser atualizado na forma do item anterior;</w:t>
      </w:r>
    </w:p>
    <w:p w14:paraId="5B19290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B92D00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6.6.8. Com o objetivo de demonstrar a veracidade das informações prestadas no item anterior, o licitante deverá apresentar a Demonstração de Resultado do Exercício (DRE) referente ao último exercício social.</w:t>
      </w:r>
    </w:p>
    <w:p w14:paraId="7432B88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491C3E5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6.6.9. Caso seja detectada divergência no valor total dos contratos firmados com a ADMINISTRAÇÃO PÚBLICA e/ou com a iniciativa privada, informada na declaração de que trata o item 6.6.7 (para mais ou para menos) em relação à receita bruta discriminada na Demonstração de Resultado do Exercício (DRE), o licitante deverá apresentar os devidos esclarecimentos com a documentação referente à QUALIFICAÇÃO ECONÔMICO-FINANCEIRA – Art. 69 da Lei nº 14.133/2021.</w:t>
      </w:r>
    </w:p>
    <w:p w14:paraId="4791F65D">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1346299B">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smallCaps w:val="0"/>
          <w:strike w:val="0"/>
          <w:color w:val="000000"/>
          <w:spacing w:val="0"/>
          <w:sz w:val="18"/>
          <w:szCs w:val="18"/>
          <w:u w:val="none"/>
          <w:lang w:val="pt-BR" w:bidi="ar-SA"/>
        </w:rPr>
        <w:t xml:space="preserve">6.7 </w:t>
      </w:r>
      <w:r>
        <w:rPr>
          <w:rFonts w:ascii="Book Antiqua" w:hAnsi="Book Antiqua" w:cs="Book Antiqua"/>
          <w:b/>
          <w:i w:val="0"/>
          <w:caps/>
          <w:smallCaps w:val="0"/>
          <w:strike w:val="0"/>
          <w:color w:val="000000"/>
          <w:spacing w:val="0"/>
          <w:sz w:val="18"/>
          <w:szCs w:val="18"/>
          <w:u w:val="single"/>
          <w:lang w:val="pt-BR" w:bidi="ar-SA"/>
        </w:rPr>
        <w:t>Qualificação Técnica</w:t>
      </w:r>
    </w:p>
    <w:p w14:paraId="5D12791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BEF16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 Com base no Estudo Técnico Preliminar – ETP e no Projeto Básico, a licitante bem como seus responsáveis técnicos deverão apresentar os seguintes documentos:</w:t>
      </w:r>
    </w:p>
    <w:p w14:paraId="676F6A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1E2A50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 A empresa vencedora deverá fazer comprovação de aptidão para execução das obras, pertinentes e compatíveis em características com o objeto do Projeto Básico, e indicação das instalações, do aparelhamento e do pessoal técnico, adequados e disponíveis para realização do objeto do Projeto Básico, bem como da qualificação de cada um dos membros da equipe técnica que se responsabilizará pelos trabalhos, nos termos do art. 67, II e III da Lei nº 14.133, de 1º de abril de 2021.</w:t>
      </w:r>
    </w:p>
    <w:p w14:paraId="5B8B715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6AFFBD4">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6.7.1.2. Certidão de Registro da licitante no Conselho Regional de Engenharia e Agronomia – CREA ou Conselho Regional de Arquitetura e Urbanismo – CAU, relativo a sede da licitante.</w:t>
      </w:r>
    </w:p>
    <w:p w14:paraId="2F17FC66">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1D9CA43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6.7.1.3. Certidão de Registro do responsável técnico no Conselho Regional de Engenharia e Agronomia – CREA ou Conselho Regional de Arquitetura e Urbanismo – CAU, relativo a sede do profissional.</w:t>
      </w:r>
    </w:p>
    <w:p w14:paraId="0C7B09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8DA79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6.7.1.4. Comprovação que a licitante possuir em seu quadro de pessoal ou corpo diretivo, na data prevista para entrega da proposta, profissional de nível superior ou outro devidamente reconhecido pela entidade competente, detentor(es) de Atestado de capacidade Técnico acompanhado de Certidão de Acervo Técnico – CAT, ambos registrado no CREA ou CAU por execução de obra ou serviços de características semelhantes às do objeto licitado.</w:t>
      </w:r>
    </w:p>
    <w:p w14:paraId="55D0665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53B5BC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6.7.1.5. Quando se tratar de dirigente ou sócio da empresa Licitante, tal comprovação será feita por meio do ato constitutivo da mesma e certidão do CREA ou Conselho Profissional competente devidamente atualizada, no caso de prestador de serviços com contrato escrito firmado com o Licitante, será aceita a declaração de compromisso de vinculação contratual futura, caso o Licitante se sagre vencedor do certame.</w:t>
      </w:r>
    </w:p>
    <w:p w14:paraId="476C8656">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5895C0A6">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6.7.1.6. A comprovação do vínculo profissional será efetuada mediante a apresentação, de cópia autenticada da ficha de registro de empregado, com o respectivo carimbo do Ministério do Trabalho; registro em Carteira de Trabalho e Previdência Social – CTPS, Contrato de Prestação de Serviços ou, ainda, qualquer outro meio admitido pela legislação pertinente. Para os dirigentes de empresas, tal comprovação poderá ser feita através de cópia da </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Ata da Assembleia em que se deu sua investidura no cargo ou, ainda, do contrato social. Os profissionais indicados pela empresa somente poderão participar como responsáveis técnicos por apenas 1 (uma) empresa, sendo inabilitadas as empresas que mencionarem o mesmo profissional para esta função.</w:t>
      </w:r>
    </w:p>
    <w:p w14:paraId="2D2297D8">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b/>
      </w:r>
    </w:p>
    <w:p w14:paraId="4D64A329">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6.7.1.7. Os profissionais indicados pela empresa para fins de comprovação da capacitação técnico-profissional deverão participar da obra, objeto da licitação, sendo admitida à substituição por profissionais de experiência equivalente ou superior, desde aprovado pela ADMINISTRAÇÃO PÚBLICA.</w:t>
      </w:r>
    </w:p>
    <w:p w14:paraId="2CD859FC">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38B6DEF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6.7.1.8. Relação dos nomes da equipe técnica mínima, adequada e disponível para a realização do objeto do Projeto Básico, bem como da qualificação de cada um dos membros da equipe técnica que será designada e se responsabilizará pelos trabalhos, composta de no mínimo pelos profissionais arrolados na Administração de Obra constante no orçamento de referência em anexo.</w:t>
      </w:r>
    </w:p>
    <w:p w14:paraId="61B2D8A3">
      <w:pPr>
        <w:pStyle w:val="193"/>
        <w:tabs>
          <w:tab w:val="left" w:pos="566"/>
        </w:tabs>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76A941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6.7.1.9. Declaração fornecida pela empresa indicando explicitamente pelo menos um responsável técnico para acompanhar a execução dos serviços. Na declaração deverão constar os dados mínimos necessários, tais como: nome completo, número do documento de identidade e do registro na entidade profissional competente da região a que estiver vinculado, endereço, telefone e e-mail.</w:t>
      </w:r>
    </w:p>
    <w:p w14:paraId="45B9033B">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9E610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6.7.1.10. O nome do responsável técnico indicado deverá ser o mesmo que constar dos atestados de responsabilidade técnica.</w:t>
      </w:r>
    </w:p>
    <w:p w14:paraId="7023F8F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07FF5D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6.7.1.11. Declaração formal de disponibilidade de profissional(is) técnico(s) a ser emitido pela licitante de que os técnicos necessários para execução dos serviços de que trata o objeto desta licitação estarão disponíveis quando da contratação.</w:t>
      </w:r>
    </w:p>
    <w:p w14:paraId="450602A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BA9D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6.7.1.12. Declaração formal de disponibilidade de máquinas, equipamentos, e mão de obra necessária para execução da obra/serviço. No entanto, para execução dessa licitação se faz necessário que a empresa apresente quais serão os equipamentos e mão de obras mínimas disponíveis para o futuro contrato. Deverá ser disponibilizada no mínimo 3 (três) equipes para atendimento das demandas, conforme cálculo apresentado no Anexo II, do Projeto Básico, em anexo. Os equipamentos deverão obrigatoriamente ser o suficiente para atender as frentes de trabalho de maneira plena.</w:t>
      </w:r>
    </w:p>
    <w:p w14:paraId="6AB27DA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4E90D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6.7.1.13. Declaração de que o licitante tomou conhecimento de todas as informações e das condições locais para o cumprimento das obrigações objeto da licitação.</w:t>
      </w:r>
    </w:p>
    <w:p w14:paraId="2505375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30E57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6.7.1.14. A declaração acima poderá ser substituída por declaração formal assinada pelo responsável técnico do licitante acerca do conhecimento pleno das condições e peculiaridades da contratação.</w:t>
      </w:r>
    </w:p>
    <w:p w14:paraId="750B5C6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36F244C">
      <w:pPr>
        <w:pStyle w:val="143"/>
        <w:spacing w:line="276" w:lineRule="auto"/>
        <w:jc w:val="both"/>
        <w:rPr>
          <w:rFonts w:ascii="Times New Roman" w:hAnsi="Times New Roman" w:cs="Times New Roman"/>
          <w:b w:val="0"/>
          <w:bCs w:val="0"/>
          <w:i w:val="0"/>
          <w:caps w:val="0"/>
          <w:smallCaps w:val="0"/>
          <w:strike w:val="0"/>
          <w:color w:val="000000"/>
          <w:spacing w:val="0"/>
          <w:sz w:val="20"/>
          <w:szCs w:val="20"/>
          <w:highlight w:val="none"/>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6.7.1.15. Para comprovar a aptidão à execução do objeto a ser contratado, a LICITANTE deverá atender às exigências quanto à capacidade técnica operacional e à capacidade técnica profissional.</w:t>
      </w:r>
    </w:p>
    <w:p w14:paraId="379EEA7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794EFFD">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smallCaps w:val="0"/>
          <w:strike w:val="0"/>
          <w:color w:val="000000"/>
          <w:spacing w:val="0"/>
          <w:sz w:val="18"/>
          <w:szCs w:val="18"/>
          <w:u w:val="none"/>
          <w:lang w:val="pt-BR" w:bidi="ar-SA"/>
        </w:rPr>
        <w:t>6.8. QUALIFICAÇÃO TÉCNICO OPERACIONAL</w:t>
      </w:r>
    </w:p>
    <w:p w14:paraId="1693A6D8">
      <w:pPr>
        <w:pStyle w:val="143"/>
        <w:spacing w:line="276" w:lineRule="auto"/>
        <w:jc w:val="both"/>
        <w:rPr>
          <w:rFonts w:ascii="Book Antiqua" w:hAnsi="Book Antiqua" w:cs="Book Antiqua"/>
          <w:b w:val="0"/>
          <w:bCs w:val="0"/>
          <w:i w:val="0"/>
          <w:caps w:val="0"/>
          <w:smallCaps w:val="0"/>
          <w:strike w:val="0"/>
          <w:color w:val="000000"/>
          <w:spacing w:val="0"/>
          <w:sz w:val="18"/>
          <w:szCs w:val="18"/>
          <w:highlight w:val="none"/>
          <w:u w:val="none"/>
          <w:lang w:val="pt-BR" w:bidi="ar-SA"/>
        </w:rPr>
      </w:pPr>
    </w:p>
    <w:p w14:paraId="15C0823A">
      <w:pPr>
        <w:pStyle w:val="143"/>
        <w:spacing w:line="276" w:lineRule="auto"/>
        <w:jc w:val="both"/>
        <w:rPr>
          <w:rFonts w:ascii="Book Antiqua" w:hAnsi="Book Antiqua" w:cs="Book Antiqua"/>
          <w:b w:val="0"/>
          <w:bCs w:val="0"/>
          <w:i w:val="0"/>
          <w:caps w:val="0"/>
          <w:smallCaps w:val="0"/>
          <w:strike w:val="0"/>
          <w:color w:val="000000"/>
          <w:spacing w:val="0"/>
          <w:sz w:val="18"/>
          <w:szCs w:val="18"/>
          <w:highlight w:val="none"/>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6.8.1. Serão considerados todas as certidões ou atestados de obras e/ou similares ao objeto deste certame, com complexidade tecnológica e operacional equivalente ou superior, em que conste o licitante como contratado principal, bem como, os decorrentes de subcontratação ou cessão, se formalmente autorizados pelo contratante. Não serão aceitos atestados emitidos pelo próprio licitante. O(s) atestado(s) emitidos após 31 de março de 2023, deverá(ão) ter sido emitido(s) por pessoa jurídica de direito público ou privado, devidamente registrado(s) no CREA e deverá(ão) estar acompanhado(s) da(s) respectiva(s) Certidão(ões) de Acervo Operacional – CAO, conforme disposto no artigo 67 II da Lei 14133/21 e Resolução 1.137/2023 do CONFEA.</w:t>
      </w:r>
    </w:p>
    <w:p w14:paraId="232FBEF8">
      <w:pPr>
        <w:pStyle w:val="143"/>
        <w:spacing w:line="276" w:lineRule="auto"/>
        <w:jc w:val="both"/>
        <w:rPr>
          <w:rFonts w:ascii="Book Antiqua" w:hAnsi="Book Antiqua" w:cs="Book Antiqua"/>
          <w:b w:val="0"/>
          <w:bCs w:val="0"/>
          <w:i w:val="0"/>
          <w:caps w:val="0"/>
          <w:smallCaps w:val="0"/>
          <w:strike w:val="0"/>
          <w:color w:val="000000"/>
          <w:spacing w:val="0"/>
          <w:sz w:val="18"/>
          <w:szCs w:val="18"/>
          <w:highlight w:val="none"/>
          <w:u w:val="none"/>
          <w:lang w:val="pt-BR" w:bidi="ar-SA"/>
        </w:rPr>
      </w:pPr>
    </w:p>
    <w:p w14:paraId="67DE56A5">
      <w:pPr>
        <w:pStyle w:val="143"/>
        <w:spacing w:line="276" w:lineRule="auto"/>
        <w:jc w:val="both"/>
        <w:rPr>
          <w:rFonts w:ascii="Times New Roman" w:hAnsi="Times New Roman" w:cs="Times New Roman"/>
          <w:b w:val="0"/>
          <w:bCs w:val="0"/>
          <w:i w:val="0"/>
          <w:caps w:val="0"/>
          <w:smallCaps w:val="0"/>
          <w:strike w:val="0"/>
          <w:color w:val="000000"/>
          <w:spacing w:val="0"/>
          <w:sz w:val="20"/>
          <w:szCs w:val="20"/>
          <w:highlight w:val="none"/>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6.8.2. A qualquer tempo, deverá ser demonstrado a comprovação de ter executado obras similares e com as quantidades mínimas exigidas abaixo das obras mais relevantes do orçamento:</w:t>
      </w:r>
    </w:p>
    <w:p w14:paraId="4F9139E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tbl>
      <w:tblPr>
        <w:tblStyle w:val="3"/>
        <w:tblW w:w="0" w:type="auto"/>
        <w:tblCellSpacing w:w="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781"/>
        <w:gridCol w:w="3022"/>
        <w:gridCol w:w="1321"/>
        <w:gridCol w:w="1410"/>
        <w:gridCol w:w="1331"/>
        <w:gridCol w:w="1411"/>
      </w:tblGrid>
      <w:tr w14:paraId="2E66E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blCellSpacing w:w="0" w:type="dxa"/>
        </w:trPr>
        <w:tc>
          <w:tcPr>
            <w:tcW w:w="800" w:type="dxa"/>
            <w:tcBorders>
              <w:top w:val="single" w:color="4472C4" w:sz="2" w:space="0"/>
              <w:left w:val="single" w:color="4472C4" w:sz="2" w:space="0"/>
              <w:bottom w:val="single" w:color="8EAADB" w:sz="2" w:space="0"/>
              <w:right w:val="single" w:color="8EAADB" w:sz="2" w:space="0"/>
            </w:tcBorders>
            <w:shd w:val="clear" w:color="auto" w:fill="4F81BD"/>
            <w:vAlign w:val="center"/>
          </w:tcPr>
          <w:p w14:paraId="224A7D5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ascii="Liberation Serif" w:hAnsi="Liberation Serif" w:eastAsia="Liberation Serif" w:cs="Liberation Serif"/>
                <w:color w:val="000000"/>
                <w:sz w:val="18"/>
                <w:szCs w:val="18"/>
              </w:rPr>
              <w:t>ITENS</w:t>
            </w:r>
          </w:p>
        </w:tc>
        <w:tc>
          <w:tcPr>
            <w:tcW w:w="328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4EF9749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DESCRIÇÃO DOS SERVIÇOS</w:t>
            </w:r>
          </w:p>
        </w:tc>
        <w:tc>
          <w:tcPr>
            <w:tcW w:w="134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6B26AAF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QUANT. ORÇADA</w:t>
            </w:r>
          </w:p>
        </w:tc>
        <w:tc>
          <w:tcPr>
            <w:tcW w:w="142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2026997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PERCENTUAL ORÇADO</w:t>
            </w:r>
          </w:p>
        </w:tc>
        <w:tc>
          <w:tcPr>
            <w:tcW w:w="140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5FDD6AB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QUANT. IGUAL OU SUPERIOR</w:t>
            </w:r>
          </w:p>
        </w:tc>
        <w:tc>
          <w:tcPr>
            <w:tcW w:w="1420" w:type="dxa"/>
            <w:tcBorders>
              <w:top w:val="single" w:color="4472C4" w:sz="2" w:space="0"/>
              <w:left w:val="single" w:color="8EAADB" w:sz="2" w:space="0"/>
              <w:bottom w:val="single" w:color="8EAADB" w:sz="2" w:space="0"/>
              <w:right w:val="single" w:color="4472C4" w:sz="2" w:space="0"/>
            </w:tcBorders>
            <w:shd w:val="clear" w:color="auto" w:fill="4F81BD"/>
            <w:vAlign w:val="center"/>
          </w:tcPr>
          <w:p w14:paraId="05BB55C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PERCENTUAL REQUERIDO</w:t>
            </w:r>
          </w:p>
        </w:tc>
      </w:tr>
      <w:tr w14:paraId="4D40D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76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39CD20F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w:t>
            </w:r>
          </w:p>
        </w:tc>
        <w:tc>
          <w:tcPr>
            <w:tcW w:w="328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45963D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TRANSPORTE COM CAMINHÃO BASCULANTE DE 10 M³ - RODOVIA EM LEITO NATURAL</w:t>
            </w:r>
          </w:p>
        </w:tc>
        <w:tc>
          <w:tcPr>
            <w:tcW w:w="134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6CE092B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1.822.005,22 TKM</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1760BF2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4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2A97EF1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911.002,61 TKM</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6CAC90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50%</w:t>
            </w:r>
          </w:p>
        </w:tc>
      </w:tr>
      <w:tr w14:paraId="595F0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54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5C4C9C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2</w:t>
            </w:r>
          </w:p>
        </w:tc>
        <w:tc>
          <w:tcPr>
            <w:tcW w:w="328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330EBD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HIDROSSEMEADURA (JAZIDA E CX. DE EMPRESTIMO)</w:t>
            </w:r>
          </w:p>
        </w:tc>
        <w:tc>
          <w:tcPr>
            <w:tcW w:w="134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2D7B4A1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197.481,32 M²</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23BA067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4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19B104E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98.740,66 M²</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33B3938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50%</w:t>
            </w:r>
          </w:p>
        </w:tc>
      </w:tr>
      <w:tr w14:paraId="45F66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0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04F790C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3</w:t>
            </w:r>
          </w:p>
        </w:tc>
        <w:tc>
          <w:tcPr>
            <w:tcW w:w="328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1BE0A09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EMULSÃO ASFÁLTICA RR-2C</w:t>
            </w:r>
          </w:p>
        </w:tc>
        <w:tc>
          <w:tcPr>
            <w:tcW w:w="134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E65508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307,44 T</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3DCC9FD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4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038F1CF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153,72 T</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36147C7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50%</w:t>
            </w:r>
          </w:p>
        </w:tc>
      </w:tr>
      <w:tr w14:paraId="27D8F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68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2A1DCD3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4</w:t>
            </w:r>
          </w:p>
        </w:tc>
        <w:tc>
          <w:tcPr>
            <w:tcW w:w="328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75FA206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COMPACTAÇÃO DE ATERROS A 100% DO PROCTOR NORMAL</w:t>
            </w:r>
          </w:p>
        </w:tc>
        <w:tc>
          <w:tcPr>
            <w:tcW w:w="134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A260B3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123.165,54 M³</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374E8802">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4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2E04AF0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61.582,77 M³</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3751D4C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50%</w:t>
            </w:r>
          </w:p>
        </w:tc>
      </w:tr>
    </w:tbl>
    <w:p w14:paraId="0FD179E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99225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A2941E9">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smallCaps w:val="0"/>
          <w:strike w:val="0"/>
          <w:color w:val="000000"/>
          <w:spacing w:val="0"/>
          <w:sz w:val="18"/>
          <w:szCs w:val="18"/>
          <w:u w:val="none"/>
          <w:lang w:val="pt-BR" w:bidi="ar-SA"/>
        </w:rPr>
        <w:t>6.9. QUALIFICAÇÃO TÉCNICO PROFISSIONAL</w:t>
      </w:r>
    </w:p>
    <w:p w14:paraId="2BF2FA35">
      <w:pPr>
        <w:pStyle w:val="143"/>
        <w:tabs>
          <w:tab w:val="left" w:pos="566"/>
        </w:tabs>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8CDE7C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6.9.1. Comprovação de aptidão para o desempenho de atividade pertinente e compatível em características com o objeto da licitação, mediante apresentação de atestado(s) em nome de profissional(is) de nível superior ou outro devidamente reconhecido pela entidade competente, que tenha vínculo profissional formal com o Licitante, devidamente comprovado por documentação pertinente, na data prevista para a entrega da proposta. O(s) atestado(s) deverá(ão) ter sido emitido(s) por pessoa jurídica de direito público ou privado, devidamente registrado(s) no CREA e deverá(ão) estar acompanhado(s) da(s) respectiva(s) Certidão(ões) de Acervo Técnico – CAT.</w:t>
      </w:r>
    </w:p>
    <w:p w14:paraId="381517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467FDC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6.9.2. A qualquer tempo, o profissional demonstrará ter executado obras com as seguintes características similares ao objeto deste certame:</w:t>
      </w:r>
    </w:p>
    <w:p w14:paraId="4E0B26FE">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tbl>
      <w:tblPr>
        <w:tblStyle w:val="3"/>
        <w:tblW w:w="0" w:type="auto"/>
        <w:tblCellSpacing w:w="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781"/>
        <w:gridCol w:w="3042"/>
        <w:gridCol w:w="1321"/>
        <w:gridCol w:w="1411"/>
        <w:gridCol w:w="1310"/>
        <w:gridCol w:w="1411"/>
      </w:tblGrid>
      <w:tr w14:paraId="6E095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620" w:hRule="atLeast"/>
          <w:tblCellSpacing w:w="0" w:type="dxa"/>
        </w:trPr>
        <w:tc>
          <w:tcPr>
            <w:tcW w:w="800" w:type="dxa"/>
            <w:tcBorders>
              <w:top w:val="single" w:color="4472C4" w:sz="2" w:space="0"/>
              <w:left w:val="single" w:color="4472C4" w:sz="2" w:space="0"/>
              <w:bottom w:val="single" w:color="8EAADB" w:sz="2" w:space="0"/>
              <w:right w:val="single" w:color="8EAADB" w:sz="2" w:space="0"/>
            </w:tcBorders>
            <w:shd w:val="clear" w:color="auto" w:fill="4F81BD"/>
            <w:vAlign w:val="center"/>
          </w:tcPr>
          <w:p w14:paraId="108B73C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ascii="Liberation Serif" w:hAnsi="Liberation Serif" w:eastAsia="Liberation Serif" w:cs="Liberation Serif"/>
                <w:color w:val="000000"/>
                <w:sz w:val="18"/>
                <w:szCs w:val="18"/>
              </w:rPr>
              <w:t>ITENS</w:t>
            </w:r>
          </w:p>
        </w:tc>
        <w:tc>
          <w:tcPr>
            <w:tcW w:w="330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1466861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DESCRIÇÃO DOS SERVIÇOS</w:t>
            </w:r>
          </w:p>
        </w:tc>
        <w:tc>
          <w:tcPr>
            <w:tcW w:w="134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2D009EB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QUANT. ORÇADA</w:t>
            </w:r>
          </w:p>
        </w:tc>
        <w:tc>
          <w:tcPr>
            <w:tcW w:w="142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15A2A88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PERCENTUAL ORÇADO</w:t>
            </w:r>
          </w:p>
        </w:tc>
        <w:tc>
          <w:tcPr>
            <w:tcW w:w="1380" w:type="dxa"/>
            <w:tcBorders>
              <w:top w:val="single" w:color="4472C4" w:sz="2" w:space="0"/>
              <w:left w:val="single" w:color="8EAADB" w:sz="2" w:space="0"/>
              <w:bottom w:val="single" w:color="8EAADB" w:sz="2" w:space="0"/>
              <w:right w:val="single" w:color="8EAADB" w:sz="2" w:space="0"/>
            </w:tcBorders>
            <w:shd w:val="clear" w:color="auto" w:fill="4F81BD"/>
            <w:vAlign w:val="center"/>
          </w:tcPr>
          <w:p w14:paraId="264F56D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QUANT. IGUAL OU SUPERIOR</w:t>
            </w:r>
          </w:p>
        </w:tc>
        <w:tc>
          <w:tcPr>
            <w:tcW w:w="1420" w:type="dxa"/>
            <w:tcBorders>
              <w:top w:val="single" w:color="4472C4" w:sz="2" w:space="0"/>
              <w:left w:val="single" w:color="8EAADB" w:sz="2" w:space="0"/>
              <w:bottom w:val="single" w:color="8EAADB" w:sz="2" w:space="0"/>
              <w:right w:val="single" w:color="4472C4" w:sz="2" w:space="0"/>
            </w:tcBorders>
            <w:shd w:val="clear" w:color="auto" w:fill="4F81BD"/>
            <w:vAlign w:val="center"/>
          </w:tcPr>
          <w:p w14:paraId="448AECE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18"/>
                <w:szCs w:val="18"/>
              </w:rPr>
              <w:t>PERCENTUAL REQUERIDO</w:t>
            </w:r>
          </w:p>
        </w:tc>
      </w:tr>
      <w:tr w14:paraId="2C67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82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867209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w:t>
            </w:r>
          </w:p>
        </w:tc>
        <w:tc>
          <w:tcPr>
            <w:tcW w:w="33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0C87A7D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TRANSPORTE COM CAMINHÃO BASCULANTE DE 10 M³ - RODOVIA EM LEITO NATURAL</w:t>
            </w:r>
          </w:p>
        </w:tc>
        <w:tc>
          <w:tcPr>
            <w:tcW w:w="134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3BDBD1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1.822.005,22 TKM</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5E2E010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38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185C46D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45FE4CB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0%</w:t>
            </w:r>
          </w:p>
        </w:tc>
      </w:tr>
      <w:tr w14:paraId="2B0D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58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A0E00C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2</w:t>
            </w:r>
          </w:p>
        </w:tc>
        <w:tc>
          <w:tcPr>
            <w:tcW w:w="33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5FA786E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HIDROSSEMEADURA (JAZIDA E CX. DE EMPRESTIMO)</w:t>
            </w:r>
          </w:p>
        </w:tc>
        <w:tc>
          <w:tcPr>
            <w:tcW w:w="134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0FE3BC2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197.481,32 M²</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2389EEE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38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606AFA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717ED85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0%</w:t>
            </w:r>
          </w:p>
        </w:tc>
      </w:tr>
      <w:tr w14:paraId="65726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42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6365785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3</w:t>
            </w:r>
          </w:p>
        </w:tc>
        <w:tc>
          <w:tcPr>
            <w:tcW w:w="330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1360737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EMULSÃO ASFÁLTICA RR-2C</w:t>
            </w:r>
          </w:p>
        </w:tc>
        <w:tc>
          <w:tcPr>
            <w:tcW w:w="134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64A08C3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307,44 T</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08D46B1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38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6E59FB5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w:t>
            </w:r>
          </w:p>
        </w:tc>
        <w:tc>
          <w:tcPr>
            <w:tcW w:w="1420" w:type="dxa"/>
            <w:tcBorders>
              <w:top w:val="single" w:color="8EAADB" w:sz="2" w:space="0"/>
              <w:left w:val="single" w:color="8EAADB" w:sz="2" w:space="0"/>
              <w:bottom w:val="single" w:color="8EAADB" w:sz="2" w:space="0"/>
              <w:right w:val="single" w:color="8EAADB" w:sz="2" w:space="0"/>
            </w:tcBorders>
            <w:shd w:val="clear" w:color="auto" w:fill="DBE5F1"/>
            <w:vAlign w:val="center"/>
          </w:tcPr>
          <w:p w14:paraId="0869755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0%</w:t>
            </w:r>
          </w:p>
        </w:tc>
      </w:tr>
      <w:tr w14:paraId="3CC0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700" w:hRule="atLeast"/>
          <w:tblCellSpacing w:w="0" w:type="dxa"/>
        </w:trPr>
        <w:tc>
          <w:tcPr>
            <w:tcW w:w="8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1B38A6C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4</w:t>
            </w:r>
          </w:p>
        </w:tc>
        <w:tc>
          <w:tcPr>
            <w:tcW w:w="330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4EEEC52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COMPACTAÇÃO DE ATERROS A 100% DO PROCTOR NORMAL</w:t>
            </w:r>
          </w:p>
        </w:tc>
        <w:tc>
          <w:tcPr>
            <w:tcW w:w="134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0824645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123.165,54 M³</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6EC4C2A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100%</w:t>
            </w:r>
          </w:p>
        </w:tc>
        <w:tc>
          <w:tcPr>
            <w:tcW w:w="138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49B746A2">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w:t>
            </w:r>
          </w:p>
        </w:tc>
        <w:tc>
          <w:tcPr>
            <w:tcW w:w="1420" w:type="dxa"/>
            <w:tcBorders>
              <w:top w:val="single" w:color="8EAADB" w:sz="2" w:space="0"/>
              <w:left w:val="single" w:color="8EAADB" w:sz="2" w:space="0"/>
              <w:bottom w:val="single" w:color="8EAADB" w:sz="2" w:space="0"/>
              <w:right w:val="single" w:color="8EAADB" w:sz="2" w:space="0"/>
            </w:tcBorders>
            <w:shd w:val="clear" w:color="auto" w:fill="auto"/>
            <w:vAlign w:val="center"/>
          </w:tcPr>
          <w:p w14:paraId="4CA4E8C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73" w:lineRule="auto"/>
              <w:jc w:val="center"/>
            </w:pPr>
            <w:r>
              <w:rPr>
                <w:rFonts w:hint="default" w:ascii="Liberation Serif" w:hAnsi="Liberation Serif" w:eastAsia="Liberation Serif" w:cs="Liberation Serif"/>
                <w:color w:val="000000"/>
                <w:sz w:val="20"/>
                <w:szCs w:val="20"/>
              </w:rPr>
              <w:t>0%</w:t>
            </w:r>
          </w:p>
        </w:tc>
      </w:tr>
    </w:tbl>
    <w:p w14:paraId="28A77170">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3BBF80">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6.9.3 Requisitos de Qualificação</w:t>
      </w:r>
    </w:p>
    <w:p w14:paraId="75034DE0">
      <w:pPr>
        <w:pStyle w:val="155"/>
        <w:numPr>
          <w:ilvl w:val="0"/>
          <w:numId w:val="3"/>
        </w:numPr>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É vedado o somatório de atestados, para o atendimento dos itens de “maior relevância global” (vide Art. 5º da IN 58/2021/DNIT) e / ou aos de “maior relevância técnica contidas no objeto a ser licitado” (vide Art. 6º, § 1º, item “c” da IN 58/2021/DNIT).</w:t>
      </w:r>
    </w:p>
    <w:p w14:paraId="14C28E50">
      <w:pPr>
        <w:pStyle w:val="155"/>
        <w:numPr>
          <w:ilvl w:val="0"/>
          <w:numId w:val="3"/>
        </w:numPr>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Apresentar somente o(s) atestado(s) e/ou certidão(ões) necessário(s) e suficiente(s) para a comprovação do exigido, e indicar com marca texto os itens que comprovarão as exigências. Somente serão aceitos atestados e/ou certidões de capacidade Técnico-Profissional devidamente registrados no CREA.</w:t>
      </w:r>
    </w:p>
    <w:p w14:paraId="5ADB4B28">
      <w:pPr>
        <w:pStyle w:val="155"/>
        <w:numPr>
          <w:ilvl w:val="0"/>
          <w:numId w:val="3"/>
        </w:numPr>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Caso sejam apresentados Atestados de Capacidade Técnica Operacional com data anterior a resolução 1.137/2023 do Confea, e que não possuam a CAO (Certidão de Acervo Operacional), estes deverão conter obrigatoriamente a ART (Anotação de Responsabilidade Técnica) com data compatível a execução da atividade.</w:t>
      </w:r>
    </w:p>
    <w:p w14:paraId="048CD996">
      <w:pPr>
        <w:pStyle w:val="155"/>
        <w:numPr>
          <w:ilvl w:val="0"/>
          <w:numId w:val="3"/>
        </w:numPr>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Nos casos que a Licitante apresentar item similar ao exigido, recomenda-se ser emitida nota técnica que justifique de maneira objetiva a similaridade indicada. Recomenda-se o uso de documentos de cunho oficial como Caderno Técnico Sinapi e/ou referência Sicro.</w:t>
      </w:r>
    </w:p>
    <w:p w14:paraId="2ABE6F35">
      <w:pPr>
        <w:pStyle w:val="155"/>
        <w:numPr>
          <w:ilvl w:val="0"/>
          <w:numId w:val="3"/>
        </w:numPr>
        <w:spacing w:before="240" w:after="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Deverão ser observadas as seguintes condições na apresentação dos atestados:</w:t>
      </w:r>
    </w:p>
    <w:p w14:paraId="680888DE">
      <w:pPr>
        <w:pStyle w:val="155"/>
        <w:numPr>
          <w:ilvl w:val="0"/>
          <w:numId w:val="4"/>
        </w:numPr>
        <w:spacing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Nome do Contratado e do Contratante;</w:t>
      </w:r>
    </w:p>
    <w:p w14:paraId="75841F28">
      <w:pPr>
        <w:pStyle w:val="155"/>
        <w:numPr>
          <w:ilvl w:val="0"/>
          <w:numId w:val="4"/>
        </w:numPr>
        <w:spacing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Identificação do objeto do contrato (tipo ou natureza do serviço);</w:t>
      </w:r>
    </w:p>
    <w:p w14:paraId="1DC8D062">
      <w:pPr>
        <w:pStyle w:val="155"/>
        <w:numPr>
          <w:ilvl w:val="0"/>
          <w:numId w:val="4"/>
        </w:numPr>
        <w:spacing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Localização do serviço;</w:t>
      </w:r>
    </w:p>
    <w:p w14:paraId="4257AF06">
      <w:pPr>
        <w:pStyle w:val="155"/>
        <w:numPr>
          <w:ilvl w:val="0"/>
          <w:numId w:val="4"/>
        </w:numPr>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Serviços Executados (discriminação e quantidades).</w:t>
      </w:r>
    </w:p>
    <w:p w14:paraId="33AED52A">
      <w:pPr>
        <w:pStyle w:val="143"/>
        <w:tabs>
          <w:tab w:val="left" w:pos="566"/>
        </w:tabs>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Times New Roman" w:hAnsi="Times New Roman" w:cs="Times New Roman"/>
          <w:b w:val="0"/>
          <w:i w:val="0"/>
          <w:caps w:val="0"/>
          <w:smallCaps w:val="0"/>
          <w:strike w:val="0"/>
          <w:color w:val="000000"/>
          <w:spacing w:val="0"/>
          <w:sz w:val="18"/>
          <w:szCs w:val="18"/>
          <w:u w:val="none"/>
          <w:lang w:val="pt-BR" w:bidi="ar-SA"/>
        </w:rPr>
        <w:t xml:space="preserve">6.9.4 Será </w:t>
      </w:r>
      <w:r>
        <w:rPr>
          <w:rFonts w:ascii="Times New Roman" w:hAnsi="Times New Roman" w:cs="Times New Roman"/>
          <w:b/>
          <w:i w:val="0"/>
          <w:caps w:val="0"/>
          <w:smallCaps w:val="0"/>
          <w:strike w:val="0"/>
          <w:color w:val="000000"/>
          <w:spacing w:val="0"/>
          <w:sz w:val="18"/>
          <w:szCs w:val="18"/>
          <w:u w:val="none"/>
          <w:lang w:val="pt-BR" w:bidi="ar-SA"/>
        </w:rPr>
        <w:t>permitida a participação de empresas estrangeiras</w:t>
      </w:r>
      <w:r>
        <w:rPr>
          <w:rFonts w:ascii="Times New Roman" w:hAnsi="Times New Roman" w:cs="Times New Roman"/>
          <w:b w:val="0"/>
          <w:i w:val="0"/>
          <w:caps w:val="0"/>
          <w:smallCaps w:val="0"/>
          <w:strike w:val="0"/>
          <w:color w:val="000000"/>
          <w:spacing w:val="0"/>
          <w:sz w:val="18"/>
          <w:szCs w:val="18"/>
          <w:u w:val="none"/>
          <w:lang w:val="pt-BR" w:bidi="ar-SA"/>
        </w:rPr>
        <w:t>, cuja permissão será devidamente amparada na legislação pátria, e fundamenta-se na possibilidade de elastecer a oferta para a Administração Pública com aumento da quantidade de licitantes. Por consequência, possibilitará a formalização de contratos mais vantajosos, com melhores preços e melhores técnicas, trazendo à CONTRATANTE, economia e execução de maior qualidade.</w:t>
      </w:r>
    </w:p>
    <w:p w14:paraId="402CE6AB">
      <w:pPr>
        <w:spacing w:line="276" w:lineRule="auto"/>
        <w:jc w:val="both"/>
        <w:rPr>
          <w:rFonts w:ascii="Times New Roman" w:hAnsi="Times New Roman" w:cs="Times New Roman"/>
          <w:sz w:val="18"/>
          <w:szCs w:val="18"/>
        </w:rPr>
      </w:pPr>
      <w:r>
        <w:rPr>
          <w:rFonts w:ascii="Times New Roman" w:hAnsi="Times New Roman" w:cs="Times New Roman"/>
          <w:sz w:val="18"/>
          <w:szCs w:val="18"/>
          <w:lang w:val="pt-BR"/>
        </w:rPr>
        <w:t>6</w:t>
      </w:r>
      <w:r>
        <w:rPr>
          <w:rFonts w:ascii="Times New Roman" w:hAnsi="Times New Roman" w:cs="Times New Roman"/>
          <w:sz w:val="18"/>
          <w:szCs w:val="18"/>
          <w:lang w:val="pt-PT"/>
        </w:rPr>
        <w:t>.</w:t>
      </w:r>
      <w:r>
        <w:rPr>
          <w:rFonts w:ascii="Times New Roman" w:hAnsi="Times New Roman" w:cs="Times New Roman"/>
          <w:sz w:val="18"/>
          <w:szCs w:val="18"/>
          <w:lang w:val="pt-BR"/>
        </w:rPr>
        <w:t>9</w:t>
      </w:r>
      <w:r>
        <w:rPr>
          <w:rFonts w:ascii="Times New Roman" w:hAnsi="Times New Roman" w:cs="Times New Roman"/>
          <w:sz w:val="18"/>
          <w:szCs w:val="18"/>
          <w:lang w:val="pt-PT"/>
        </w:rPr>
        <w:t>.</w:t>
      </w:r>
      <w:r>
        <w:rPr>
          <w:rFonts w:ascii="Times New Roman" w:hAnsi="Times New Roman" w:cs="Times New Roman"/>
          <w:sz w:val="18"/>
          <w:szCs w:val="18"/>
          <w:lang w:val="pt-BR"/>
        </w:rPr>
        <w:t>5</w:t>
      </w:r>
      <w:r>
        <w:rPr>
          <w:rFonts w:ascii="Times New Roman" w:hAnsi="Times New Roman" w:cs="Times New Roman"/>
          <w:sz w:val="18"/>
          <w:szCs w:val="18"/>
          <w:lang w:val="pt-PT"/>
        </w:rPr>
        <w:t xml:space="preserve">. Exclusividade/Benefício ME – Micro Empresa/EPP – Empresa de Pequeno Porte (Art. 48, Lei complementar 123/2006): </w:t>
      </w:r>
      <w:r>
        <w:rPr>
          <w:rFonts w:ascii="Times New Roman" w:hAnsi="Times New Roman" w:cs="Times New Roman"/>
          <w:b/>
          <w:sz w:val="18"/>
          <w:szCs w:val="18"/>
          <w:lang w:val="pt-PT"/>
        </w:rPr>
        <w:t>Não aplicável</w:t>
      </w:r>
      <w:r>
        <w:rPr>
          <w:rFonts w:ascii="Times New Roman" w:hAnsi="Times New Roman" w:cs="Times New Roman"/>
          <w:sz w:val="18"/>
          <w:szCs w:val="18"/>
          <w:lang w:val="pt-PT"/>
        </w:rPr>
        <w:t xml:space="preserve">. A participação de Microempresas ou Empresas de Pequeno Porte não se enquadra ao objeto deste Projeto, considerando seu valor, e por não se tratar da aquisição de serviços divisíveis. Tal ação poderia comprometer o pleno andamento da obra, uma vez que várias ações devem ser coordenadas para que se tenha um </w:t>
      </w:r>
      <w:r>
        <w:rPr>
          <w:rFonts w:ascii="Times New Roman" w:hAnsi="Times New Roman" w:cs="Times New Roman"/>
          <w:sz w:val="18"/>
          <w:szCs w:val="18"/>
        </w:rPr>
        <w:t>resultado satisfatório.</w:t>
      </w:r>
    </w:p>
    <w:p w14:paraId="29DD4550">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CEFB8C3">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smallCaps w:val="0"/>
          <w:strike w:val="0"/>
          <w:color w:val="000000"/>
          <w:spacing w:val="0"/>
          <w:sz w:val="18"/>
          <w:szCs w:val="18"/>
          <w:u w:val="none"/>
          <w:lang w:val="pt-BR" w:bidi="ar-SA"/>
        </w:rPr>
        <w:t>6.10. Documentação complementar</w:t>
      </w:r>
    </w:p>
    <w:p w14:paraId="36CBE425">
      <w:pPr>
        <w:pStyle w:val="143"/>
        <w:spacing w:line="276" w:lineRule="auto"/>
        <w:ind w:left="0" w:right="0" w:firstLine="275"/>
        <w:jc w:val="both"/>
        <w:rPr>
          <w:rFonts w:ascii="Times New Roman" w:hAnsi="Times New Roman" w:cs="Times New Roman"/>
          <w:b w:val="0"/>
          <w:i w:val="0"/>
          <w:caps w:val="0"/>
          <w:smallCaps w:val="0"/>
          <w:strike w:val="0"/>
          <w:color w:val="000000"/>
          <w:spacing w:val="0"/>
          <w:sz w:val="20"/>
          <w:szCs w:val="20"/>
          <w:u w:val="none"/>
          <w:lang w:val="pt-BR" w:bidi="ar-SA"/>
        </w:rPr>
      </w:pPr>
    </w:p>
    <w:p w14:paraId="0550181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6.10.1 Declaração de Inexistência de Fatos Impeditivos a Habilitação, conforme modelo ANEXO III, do Edital.</w:t>
      </w:r>
    </w:p>
    <w:p w14:paraId="0114D34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05DA7A0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6.10.2. Declaração da licitante de que não possui em seu quadro de dirigentes: membro dos Poderes Executivo, Legislativo, Judiciário, do Ministério Público, do Tribunal de Contas do Estado, bem como seus respectivos cônjuges, companheiros, e parentes em linha reta, colateral ou por afinidade até o 2º grau – ANEXO V, do Edital.</w:t>
      </w:r>
    </w:p>
    <w:p w14:paraId="68E3216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CCCCCC"/>
          <w:lang w:val="pt-BR" w:bidi="ar-SA"/>
        </w:rPr>
      </w:pPr>
    </w:p>
    <w:p w14:paraId="2C680EF9">
      <w:pPr>
        <w:pStyle w:val="143"/>
        <w:spacing w:line="276" w:lineRule="auto"/>
        <w:jc w:val="both"/>
        <w:rPr>
          <w:rFonts w:ascii="Times New Roman" w:hAnsi="Times New Roman" w:cs="Times New Roman"/>
          <w:b w:val="0"/>
          <w:bCs w:val="0"/>
          <w:i w:val="0"/>
          <w:caps w:val="0"/>
          <w:smallCaps w:val="0"/>
          <w:strike w:val="0"/>
          <w:color w:val="000000"/>
          <w:spacing w:val="0"/>
          <w:sz w:val="20"/>
          <w:szCs w:val="20"/>
          <w:highlight w:val="none"/>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6.10.3. Declaração de que se responsabiliza pelos serviços elétricos e no momento em que for necessário se compromete e se responsabiliza na contratação de um profissional devidamente habilitado, no caso de obras que necessitará deste profissional.</w:t>
      </w:r>
    </w:p>
    <w:p w14:paraId="1CDC988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p>
    <w:p w14:paraId="1D303085">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7. DA ABERTURA DA SESSÃO</w:t>
      </w:r>
    </w:p>
    <w:p w14:paraId="6C4F8BE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588F0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 A abertura da presente licitação dar-se-á automaticamente em sessão pública, por meio de sistema eletrônico, na data, horário e local indicados neste Edital.</w:t>
      </w:r>
    </w:p>
    <w:p w14:paraId="3CBEA31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93D40C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7.1.1. O modo de disputa adotado será o ABERTO, nos termos do art. 56 da Lei nº 14.133/2021, com apresentação de propostas iniciais e lances sucessivos e decrescentes, sendo classificada como vencedora a proposta de menor preço.</w:t>
      </w:r>
    </w:p>
    <w:p w14:paraId="3073DC0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EADB94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7.1.2. De modo a garantir a melhor oferta à administração pública será adotado o método de disputa “ABERTO”, com envio de lances na licitação, os licitantes apresentarão lances públicos e sucessivos, com prorrogações. Tal modo de disputa visa a promoção da competição e da transparência. Essa abordagem pode resultar em processos de aquisição mais eficientes, que atendam às necessidades da administração pública e ofereçam melhores resultados.</w:t>
      </w:r>
    </w:p>
    <w:p w14:paraId="48BBD03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6DEBC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7.2. Os licitantes poderão retirar ou substituir a proposta ou os documentos de habilitação, quando for o caso, anteriormente inseridos no sistema, até a abertura da sessão pública.</w:t>
      </w:r>
    </w:p>
    <w:p w14:paraId="66CEFF6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A4733E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7.3. O sistema disponibilizará campo próprio para troca de mensagens entre o Pregoeiro/Agente de Contratação/Comissão e os licitantes.</w:t>
      </w:r>
    </w:p>
    <w:p w14:paraId="1568232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1A774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7.4. Iniciada a etapa competitiva, os licitantes deverão encaminhar lances exclusivamente por meio de sistema eletrônico, sendo imediatamente informados do seu recebimento e do valor consignado no registro.</w:t>
      </w:r>
    </w:p>
    <w:p w14:paraId="0D56293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C9FB1D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7.4.1. A etapa de lances da sessão pública terá duração de dez minutos e, após isso, será prorrogada automaticamente pelo sistema quando houver lance ofertado nos últimos dois minutos do período de duração da sessão pública.</w:t>
      </w:r>
    </w:p>
    <w:p w14:paraId="6053ADE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EDDE6F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7.4.2. A prorrogação automática referida no item 7.4.1 será de 2 (dois) minutos e ocorrerá sucessivamente sempre que houver lances enviados nesse período de prorrogação, inclusive no caso de lances intermediários.</w:t>
      </w:r>
    </w:p>
    <w:p w14:paraId="4987B02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4F9D1A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7.5. O lance deverá ser ofertado pelo valor unitário do item.</w:t>
      </w:r>
    </w:p>
    <w:p w14:paraId="6E51A1A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F6A0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7.6. Os licitantes poderão oferecer lances sucessivos, observando o horário fixado para abertura da sessão e as regras estabelecidas no Edital.</w:t>
      </w:r>
    </w:p>
    <w:p w14:paraId="2A8B33D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92451C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7.7. O licitante somente poderá oferecer lance de valor inferior ou percentual de desconto superior ao último por ele ofertado e registrado pelo sistema.</w:t>
      </w:r>
    </w:p>
    <w:p w14:paraId="5BA3D73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E61DAB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7.8. Nos termos do Art. 57 da Lei nº 14.133 de 2021, o intervalo mínimo de lances será de R$ 1.000,00 (mil reais).</w:t>
      </w:r>
    </w:p>
    <w:p w14:paraId="1A02F2A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D68C84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7.9. O licitante poderá, uma única vez, excluir seu último lance ofertado, no intervalo de quinze segundos após o registro no sistema, na hipótese de lance inconsistente ou inexequível.</w:t>
      </w:r>
    </w:p>
    <w:p w14:paraId="2408B9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56EC27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7.10. Na hipótese de haver propostas iguais prevalecerá como de menor valor o lance que tiver sido primeiramente registrado.</w:t>
      </w:r>
    </w:p>
    <w:p w14:paraId="56D8851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1AB90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7.11. Durante a sessão pública, os licitantes serão informados, em tempo real, do valor do menor valor registrado, vedada a identificação do licitante.</w:t>
      </w:r>
    </w:p>
    <w:p w14:paraId="29DE86D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301AFF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7.12. Não havendo novos lances na forma estabelecida nos itens anteriores, a sessão pública encerrar-se-á automaticamente, e o sistema ordenará e divulgará os lances conforme a ordem de classificação.</w:t>
      </w:r>
    </w:p>
    <w:p w14:paraId="1676FC9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087C57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7.13. Definida a melhor proposta, se a diferença em relação à proposta classificada em segundo lugar for de pelo menos 5% (cinco por cento), o Agente de Contratação, auxiliado pela equipe de apoio, poderá admitir o reinício da disputa aberta, nos termos estabelecidos no edital de licitação, para a definição das demais colocações.</w:t>
      </w:r>
    </w:p>
    <w:p w14:paraId="0AC37F0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FEAD3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7.14. Após o reinício previsto no 7.13, os licitantes serão convocados para apresentar lances intermediários, podendo optar por manter o seu último lance.</w:t>
      </w:r>
    </w:p>
    <w:p w14:paraId="1B17812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ECBF9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7.15. Quando houver um único licitante ou uma única proposta válida, caberá ao Agente de Contratação, verificar a aceitabilidade do(s) preço(s) ofertado(s).</w:t>
      </w:r>
    </w:p>
    <w:p w14:paraId="0802F26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53CD64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7.16. No caso de desconexão com o Agente de Contratação, no decorrer da sessão, o sistema eletrônico poderá permanecer acessível aos licitantes para a recepção de mensagens e documentos solicitados via diligência.</w:t>
      </w:r>
    </w:p>
    <w:p w14:paraId="32F88C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9C8BA7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7.16.1. Quando a desconexão do sistema eletrônico para o Agente de Contratação persistir por tempo superior a dez minutos, a sessão pública será suspensa e reiniciada podendo se da comunicação do fato pelo Agente de Contratação aos participantes, no sítio eletrônico utilizado para divulgação.</w:t>
      </w:r>
    </w:p>
    <w:p w14:paraId="284DB37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4DF6B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7.17. Em consonância com o subitem 5.6.2, não se aplicam, neste certame, as regras de preferência e desempate previstas na Lei Complementar nº 123/2006, inclusive o chamado ‘empate ficto’, em razão da natureza indivisível e da alta complexidade técnica do objeto.</w:t>
      </w:r>
    </w:p>
    <w:p w14:paraId="0D370D1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556F292">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8. DA NEGOCIAÇÃO</w:t>
      </w:r>
    </w:p>
    <w:p w14:paraId="14038B0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BEBD91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8.1. Após o encerramento da sessão estando o valor da melhor proposta acima do valor de referência, o Agente de Contratação negociará a redução do preço com o seu detentor.</w:t>
      </w:r>
    </w:p>
    <w:p w14:paraId="170B31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FBA8F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8.2. A negociação será realizada por meio do sistema e poderá ser acompanhada pelas demais licitantes.</w:t>
      </w:r>
    </w:p>
    <w:p w14:paraId="1A0318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861F0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8.3. O sistema informará a proposta de menor preço e a decisão pelo Agente de Contratação acerca da aceitação do menor valor.</w:t>
      </w:r>
    </w:p>
    <w:p w14:paraId="0C960B4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1CC9CC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8.4. A proposta apresentada terá que refletir preços equivalentes aos praticados no mercado.</w:t>
      </w:r>
    </w:p>
    <w:p w14:paraId="20E7DC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CEB9A35">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9. DA ANÁLISE DA PROPOSTA DE PREÇOS</w:t>
      </w:r>
    </w:p>
    <w:p w14:paraId="23719CA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704464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 No julgamento das propostas classificadas, atendidas as condições prescritas neste edital, será adotado o critério de menor preço global, entendendo-se como tal o valor total da proposta, abrangendo a execução integral da obra de pavimento asfáltico, nos termos do regime de EMPREITADA POR PREÇO UNITÁRIO, sendo a adjudicação efetuada a uma única empresa.</w:t>
      </w:r>
    </w:p>
    <w:p w14:paraId="161D0CA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131483F">
      <w:pPr>
        <w:pStyle w:val="143"/>
        <w:spacing w:line="276" w:lineRule="auto"/>
        <w:jc w:val="both"/>
        <w:rPr>
          <w:rFonts w:ascii="Times New Roman" w:hAnsi="Times New Roman" w:cs="Times New Roman"/>
          <w:b w:val="0"/>
          <w:i w:val="0"/>
          <w:caps w:val="0"/>
          <w:smallCaps w:val="0"/>
          <w:strike w:val="0"/>
          <w:color w:val="000000"/>
          <w:spacing w:val="0"/>
          <w:sz w:val="20"/>
          <w:szCs w:val="20"/>
          <w:highlight w:val="white"/>
          <w:u w:val="none"/>
        </w:rPr>
      </w:pPr>
      <w:r>
        <w:rPr>
          <w:rFonts w:ascii="Book Antiqua" w:hAnsi="Book Antiqua" w:cs="Book Antiqua"/>
          <w:b w:val="0"/>
          <w:i w:val="0"/>
          <w:caps w:val="0"/>
          <w:smallCaps w:val="0"/>
          <w:strike w:val="0"/>
          <w:color w:val="000000"/>
          <w:spacing w:val="0"/>
          <w:sz w:val="18"/>
          <w:szCs w:val="18"/>
          <w:highlight w:val="white"/>
          <w:u w:val="none"/>
          <w:shd w:val="clear" w:color="auto" w:fill="F7D1D5"/>
          <w:lang w:val="pt-BR" w:bidi="ar-SA"/>
        </w:rPr>
        <w:t>9.1.1. As propostas deverão estar em conformidade com o Projeto Básico, o Estudo Técnico Preliminar e os demais anexos deste edital, contendo todos os custos diretos e indiretos, inclusive impostos, encargos trabalhistas, previdenciários e demais despesas necessárias à execução integral do objeto.</w:t>
      </w:r>
    </w:p>
    <w:p w14:paraId="5CBB570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6A965F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9.2. Em caso de empate entre duas ou mais propostas, será observado o disposto no art. 60 da Lei nº 14.133/2021, realizando-se sorteio em ato público, para o qual todos os licitantes serão convocados.</w:t>
      </w:r>
    </w:p>
    <w:p w14:paraId="61B86AF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F67C7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9.3. Caso se constate que algum licitante está impedido de participar, ou tenha sido declarado inidôneo para licitar ou contratar com a Administração Pública, este será desclassificado do certame, sem prejuízo das sanções legais cabíveis.</w:t>
      </w:r>
    </w:p>
    <w:p w14:paraId="4A81B9A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ED1F1C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9.4. Serão desclassificadas as propostas que se adequarem a um dos seguintes requisitos:</w:t>
      </w:r>
    </w:p>
    <w:p w14:paraId="39DB5EA5">
      <w:pPr>
        <w:pStyle w:val="143"/>
        <w:spacing w:line="276" w:lineRule="auto"/>
        <w:ind w:left="708"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153B97A8">
      <w:pPr>
        <w:pStyle w:val="143"/>
        <w:spacing w:line="276" w:lineRule="auto"/>
        <w:ind w:left="708"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não atenderem às exigências do Edital;</w:t>
      </w:r>
    </w:p>
    <w:p w14:paraId="71F3F5DA">
      <w:pPr>
        <w:pStyle w:val="143"/>
        <w:spacing w:line="276" w:lineRule="auto"/>
        <w:ind w:left="708"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 apresentarem valores globais superiores ao limite estabelecido pela Administração;</w:t>
      </w:r>
    </w:p>
    <w:p w14:paraId="50B2E933">
      <w:pPr>
        <w:pStyle w:val="143"/>
        <w:spacing w:line="276" w:lineRule="auto"/>
        <w:ind w:left="708"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c) apresentarem valores </w:t>
      </w:r>
      <w:r>
        <w:rPr>
          <w:rFonts w:ascii="Times New Roman" w:hAnsi="Times New Roman" w:cs="Times New Roman"/>
          <w:b w:val="0"/>
          <w:i w:val="0"/>
          <w:caps w:val="0"/>
          <w:smallCaps w:val="0"/>
          <w:strike w:val="0"/>
          <w:color w:val="000000"/>
          <w:spacing w:val="0"/>
          <w:sz w:val="20"/>
          <w:szCs w:val="20"/>
          <w:u w:val="none"/>
          <w:lang w:val="pt-BR" w:bidi="ar-SA"/>
        </w:rPr>
        <w:t>unitários ou globais</w:t>
      </w:r>
      <w:r>
        <w:rPr>
          <w:rFonts w:ascii="Book Antiqua" w:hAnsi="Book Antiqua" w:cs="Book Antiqua"/>
          <w:b w:val="0"/>
          <w:i w:val="0"/>
          <w:caps w:val="0"/>
          <w:smallCaps w:val="0"/>
          <w:strike w:val="0"/>
          <w:color w:val="000000"/>
          <w:spacing w:val="0"/>
          <w:sz w:val="18"/>
          <w:szCs w:val="18"/>
          <w:u w:val="none"/>
          <w:lang w:val="pt-BR" w:bidi="ar-SA"/>
        </w:rPr>
        <w:t xml:space="preserve"> superiores aos custos referenciais estabelecidos pela Administração;</w:t>
      </w:r>
    </w:p>
    <w:p w14:paraId="761FDDAA">
      <w:pPr>
        <w:pStyle w:val="143"/>
        <w:spacing w:line="276" w:lineRule="auto"/>
        <w:ind w:left="708"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 utilizarem preços manifestamente inexequíveis.</w:t>
      </w:r>
    </w:p>
    <w:p w14:paraId="424C41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02F74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9.5. O valor máximo aceitável para esta licitação será o valor estimado constante no Projeto Básico, não sendo admitidas propostas que o superem.</w:t>
      </w:r>
    </w:p>
    <w:p w14:paraId="5ACA48A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B55BF2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9.6. </w:t>
      </w:r>
      <w:r>
        <w:rPr>
          <w:rFonts w:ascii="Book Antiqua" w:hAnsi="Book Antiqua" w:cs="Book Antiqua"/>
          <w:b w:val="0"/>
          <w:i w:val="0"/>
          <w:caps w:val="0"/>
          <w:smallCaps w:val="0"/>
          <w:strike w:val="0"/>
          <w:color w:val="000000"/>
          <w:spacing w:val="0"/>
          <w:sz w:val="18"/>
          <w:szCs w:val="18"/>
          <w:u w:val="none"/>
          <w:shd w:val="clear" w:color="auto" w:fill="FFFFFF"/>
          <w:lang w:val="pt-BR" w:bidi="ar-SA"/>
        </w:rPr>
        <w:t>Serão considerados inexequíveis os preços que não tiverem demonstrado sua viabilidade por documentação que comprove que os custos dos insumos são coerentes com os de mercado e que os coeficientes de produtividade são compatíveis com a execução do objeto do contrato, bem como aqueles que não atenderem ao disposto no art. 59, inciso III, e §4º, da Lei nº 14.133/2021.</w:t>
      </w:r>
    </w:p>
    <w:p w14:paraId="56F5B46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A627F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9.7. As propostas que atenderem em sua essência aos requisitos do Edital, mas possuírem erro de forma ou inconsistências serão verificadas quanto aos seguintes erros, os quais serão corrigidos pelo Agente de Contratação, na forma indicada:</w:t>
      </w:r>
    </w:p>
    <w:p w14:paraId="00FA82B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DC612F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a) </w:t>
      </w:r>
      <w:r>
        <w:rPr>
          <w:rFonts w:ascii="Book Antiqua" w:hAnsi="Book Antiqua" w:cs="Book Antiqua"/>
          <w:b w:val="0"/>
          <w:i w:val="0"/>
          <w:caps w:val="0"/>
          <w:smallCaps w:val="0"/>
          <w:strike w:val="0"/>
          <w:color w:val="000000"/>
          <w:spacing w:val="0"/>
          <w:sz w:val="18"/>
          <w:szCs w:val="18"/>
          <w:u w:val="single"/>
          <w:lang w:val="pt-BR" w:bidi="ar-SA"/>
        </w:rPr>
        <w:t>discrepâncias entre os preços unitários e totais</w:t>
      </w:r>
      <w:r>
        <w:rPr>
          <w:rFonts w:ascii="Book Antiqua" w:hAnsi="Book Antiqua" w:cs="Book Antiqua"/>
          <w:b w:val="0"/>
          <w:i w:val="0"/>
          <w:caps w:val="0"/>
          <w:smallCaps w:val="0"/>
          <w:strike w:val="0"/>
          <w:color w:val="000000"/>
          <w:spacing w:val="0"/>
          <w:sz w:val="18"/>
          <w:szCs w:val="18"/>
          <w:u w:val="none"/>
          <w:lang w:val="pt-BR" w:bidi="ar-SA"/>
        </w:rPr>
        <w:t>: prevalecerão os preços unitários e, havendo discordância entre os preços em algarismos e por extenso, prevalecerá o valor por extenso;</w:t>
      </w:r>
    </w:p>
    <w:p w14:paraId="68E3F88A">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31DF08">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b) </w:t>
      </w:r>
      <w:r>
        <w:rPr>
          <w:rFonts w:ascii="Book Antiqua" w:hAnsi="Book Antiqua" w:cs="Book Antiqua"/>
          <w:b w:val="0"/>
          <w:i w:val="0"/>
          <w:caps w:val="0"/>
          <w:smallCaps w:val="0"/>
          <w:strike w:val="0"/>
          <w:color w:val="000000"/>
          <w:spacing w:val="0"/>
          <w:sz w:val="18"/>
          <w:szCs w:val="18"/>
          <w:u w:val="single"/>
          <w:lang w:val="pt-BR" w:bidi="ar-SA"/>
        </w:rPr>
        <w:t>erros de transcrição das quantidades do projeto para a proposta</w:t>
      </w:r>
      <w:r>
        <w:rPr>
          <w:rFonts w:ascii="Book Antiqua" w:hAnsi="Book Antiqua" w:cs="Book Antiqua"/>
          <w:b w:val="0"/>
          <w:i w:val="0"/>
          <w:caps w:val="0"/>
          <w:smallCaps w:val="0"/>
          <w:strike w:val="0"/>
          <w:color w:val="000000"/>
          <w:spacing w:val="0"/>
          <w:sz w:val="18"/>
          <w:szCs w:val="18"/>
          <w:u w:val="none"/>
          <w:lang w:val="pt-BR" w:bidi="ar-SA"/>
        </w:rPr>
        <w:t>: o produto será corrigido devidamente, mantendo-se como referência o preço unitário, corrigindo-se a quantidade e o preço total;</w:t>
      </w:r>
    </w:p>
    <w:p w14:paraId="501C7931">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A4D7CD">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w:t>
      </w:r>
      <w:r>
        <w:rPr>
          <w:rFonts w:ascii="Book Antiqua" w:hAnsi="Book Antiqua" w:cs="Book Antiqua"/>
          <w:b w:val="0"/>
          <w:i w:val="0"/>
          <w:caps w:val="0"/>
          <w:smallCaps w:val="0"/>
          <w:strike w:val="0"/>
          <w:color w:val="000000"/>
          <w:spacing w:val="0"/>
          <w:sz w:val="18"/>
          <w:szCs w:val="18"/>
          <w:u w:val="single"/>
          <w:lang w:val="pt-BR" w:bidi="ar-SA"/>
        </w:rPr>
        <w:t>) erro de multiplicação do preço unitário pela quantidade correspondente</w:t>
      </w:r>
      <w:r>
        <w:rPr>
          <w:rFonts w:ascii="Book Antiqua" w:hAnsi="Book Antiqua" w:cs="Book Antiqua"/>
          <w:b w:val="0"/>
          <w:i w:val="0"/>
          <w:caps w:val="0"/>
          <w:smallCaps w:val="0"/>
          <w:strike w:val="0"/>
          <w:color w:val="000000"/>
          <w:spacing w:val="0"/>
          <w:sz w:val="18"/>
          <w:szCs w:val="18"/>
          <w:u w:val="none"/>
          <w:lang w:val="pt-BR" w:bidi="ar-SA"/>
        </w:rPr>
        <w:t>: será retificado, mantendo-se como referência o preço unitário e a quantidade, corrigindo-se o produto;</w:t>
      </w:r>
    </w:p>
    <w:p w14:paraId="627425A4">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4FF1FC2">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d) </w:t>
      </w:r>
      <w:r>
        <w:rPr>
          <w:rFonts w:ascii="Book Antiqua" w:hAnsi="Book Antiqua" w:cs="Book Antiqua"/>
          <w:b w:val="0"/>
          <w:i w:val="0"/>
          <w:caps w:val="0"/>
          <w:smallCaps w:val="0"/>
          <w:strike w:val="0"/>
          <w:color w:val="000000"/>
          <w:spacing w:val="0"/>
          <w:sz w:val="18"/>
          <w:szCs w:val="18"/>
          <w:u w:val="single"/>
          <w:lang w:val="pt-BR" w:bidi="ar-SA"/>
        </w:rPr>
        <w:t>erro de adição</w:t>
      </w:r>
      <w:r>
        <w:rPr>
          <w:rFonts w:ascii="Book Antiqua" w:hAnsi="Book Antiqua" w:cs="Book Antiqua"/>
          <w:b w:val="0"/>
          <w:i w:val="0"/>
          <w:caps w:val="0"/>
          <w:smallCaps w:val="0"/>
          <w:strike w:val="0"/>
          <w:color w:val="000000"/>
          <w:spacing w:val="0"/>
          <w:sz w:val="18"/>
          <w:szCs w:val="18"/>
          <w:u w:val="none"/>
          <w:lang w:val="pt-BR" w:bidi="ar-SA"/>
        </w:rPr>
        <w:t>: será retificado, conservando-se as parcelas e corrigindo-se o resultado;</w:t>
      </w:r>
    </w:p>
    <w:p w14:paraId="026AFF5C">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F8FB750">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e) verificado em qualquer momento, até o término do contrato, incoerências ou divergências de qualquer natureza nas composições dos preços unitários dos serviços, será adotada a correção que resultar no menor valor.</w:t>
      </w:r>
    </w:p>
    <w:p w14:paraId="151F41C2">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638E94">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9.8. </w:t>
      </w:r>
      <w:r>
        <w:rPr>
          <w:rFonts w:ascii="Times New Roman" w:hAnsi="Times New Roman" w:cs="Times New Roman"/>
          <w:b w:val="0"/>
          <w:i w:val="0"/>
          <w:caps w:val="0"/>
          <w:smallCaps w:val="0"/>
          <w:strike w:val="0"/>
          <w:color w:val="000000"/>
          <w:spacing w:val="0"/>
          <w:sz w:val="20"/>
          <w:szCs w:val="20"/>
          <w:u w:val="none"/>
          <w:lang w:val="pt-BR" w:bidi="ar-SA"/>
        </w:rPr>
        <w:t>O valor total da proposta será ajustado em conformidade com os procedimentos mencionados no item 8.7. O valor resultante constituirá o valor contratual. Se a licitante não aceitar as correções procedidas, sua proposta será rejeitada.</w:t>
      </w:r>
    </w:p>
    <w:p w14:paraId="33AC0414">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E050773">
      <w:pPr>
        <w:pStyle w:val="143"/>
        <w:tabs>
          <w:tab w:val="left" w:pos="1132"/>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9.9. Com exceção das alterações, entrelinhas ou rasuras feitas pelo Agente de Contratação, necessárias para corrigir erros cometidos pelos licitantes, não serão aceitas propostas contendo borrões, emendas ou rasuras.</w:t>
      </w:r>
    </w:p>
    <w:p w14:paraId="2E8FB97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8D5DD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9.10. O resultado do julgamento das propostas será publicado nos meios oficiais de divulgação da Prefeitura Municipal de Rondonópolis.</w:t>
      </w:r>
    </w:p>
    <w:p w14:paraId="126E31C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7337AD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9.10.1. Após o julgamento, o licitante vencedor deverá reelaborar e apresentar à Administração, por meio eletrônico, as planilhas com indicação dos quantitativos e dos custos unitários, bem como com detalhamento das Bonificações e Despesas Indiretas (BDI) e dos Encargos Sociais (ES), com os respectivos valores adequados ao valor final da proposta vencedora, admitida a utilização dos preços unitários, no caso de empreitada por preço UNITÁRIO, empreitada integral, contratação semi-integrada e contratação integrada, exclusivamente para eventuais adequações indispensáveis no cronograma físico-financeiro e para balizar excepcional aditamento posterior do contrato.</w:t>
      </w:r>
    </w:p>
    <w:p w14:paraId="63D8286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C71C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9.11. </w:t>
      </w:r>
      <w:r>
        <w:rPr>
          <w:rFonts w:ascii="Times New Roman" w:hAnsi="Times New Roman" w:cs="Times New Roman"/>
          <w:b w:val="0"/>
          <w:i w:val="0"/>
          <w:caps w:val="0"/>
          <w:smallCaps w:val="0"/>
          <w:strike w:val="0"/>
          <w:color w:val="000000"/>
          <w:spacing w:val="0"/>
          <w:sz w:val="20"/>
          <w:szCs w:val="20"/>
          <w:u w:val="none"/>
          <w:lang w:val="pt-BR" w:bidi="ar-SA"/>
        </w:rPr>
        <w:t>Finalizado o julgamento da Proposta de Preço, proceder-se-á à abertura da análise dos Documentos de Habilitação, para verificação dos aspectos documentais previstos no item “6.3 – Documentação de Habilitação” deste Edital.</w:t>
      </w:r>
    </w:p>
    <w:p w14:paraId="100F746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8E97C30">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10. DA ANÁLISE DA HABILITAÇÃO</w:t>
      </w:r>
    </w:p>
    <w:p w14:paraId="6E6ADDE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FEF4BD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10.1. Encerrada a análise quanto à aceitação da proposta, o Agente de Contratação verificará a habilitação do licitante, observado o disposto neste Edital, o Agente de Contratação iniciará os trabalhos.</w:t>
      </w:r>
    </w:p>
    <w:p w14:paraId="6AAA46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1B23C1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10.2. A comprovação de regularidade fiscal e trabalhista das microempresas e das empresas de pequeno porte somente será exigida para efeito de contratação, e não como condição para participação na licitação (art. 4º do Decreto nº 8.538/2015).</w:t>
      </w:r>
    </w:p>
    <w:p w14:paraId="4833292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682895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10.3. Somente haverá a necessidade de comprovação do preenchimento de requisitos mediante apresentação dos documentos originais não-digitais quando houver dúvida em relação à integridade do documento digital;</w:t>
      </w:r>
    </w:p>
    <w:p w14:paraId="445CACA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938E8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10.4. Não serão aceitos documentos de habilitação com indicação de CNPJ/CPF diferentes, salvo aqueles legalmente permitidos;</w:t>
      </w:r>
    </w:p>
    <w:p w14:paraId="69E8FB4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F40887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78395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65D430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10.6. Serão aceitos registros de CNPJ de licitante matriz e filial com diferenças de números de documentos pertinentes ao CND e ao CRF/FGTS, quando for comprovada a centralização do recolhimento dessas contribuições.</w:t>
      </w:r>
    </w:p>
    <w:p w14:paraId="0E22A19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87FCD5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10.7. Recebidos os documentos de habilitação no prazo indicado, o Agente de Contratação fará a análise de acordo com critério de aceitabilidade previsto em Edital;</w:t>
      </w:r>
    </w:p>
    <w:p w14:paraId="68EA99F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9323B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10.8. Serão inabilitadas as licitantes que não atenderem no todo ou em parte as condições estabelecidas neste Edital e seus Anexos, ou que apresentem documentação vaga, omissa, que contenha quaisquer tipos de vícios e/ou erros de conteúdo, ou ainda, que estejam com prazos de validade expirados;</w:t>
      </w:r>
    </w:p>
    <w:p w14:paraId="1CE6BA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2C081D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10.9. Havendo dúvida quanto aos documentos apresentados, poderá ser solicitado que a licitante apresente, no prazo estabelecido pelo Agente de Contratação, os documentos originais de habilitação, podendo ser cópia autenticada ou cópia simples, desde que acompanhados dos originais para análise do Agente de Contratação.</w:t>
      </w:r>
    </w:p>
    <w:p w14:paraId="0B4C198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9113CBD">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11. DOS RECURSOS</w:t>
      </w:r>
    </w:p>
    <w:p w14:paraId="4865DFE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CFCCD0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11.1. Qualquer licitante poderá, durante o prazo de 01 (uma) hora, de forma imediata após o término do ato de habilitação ou inabilitação, em campo próprio do sistema, manifestar sua intenção de recorrer, sob pena de preclusão, ficando a autoridade superior autorizada a adjudicar o objeto ao licitante declarado vencedor.</w:t>
      </w:r>
    </w:p>
    <w:p w14:paraId="279B2D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427565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11.2 Manifestado o interesse e uma vez admitido o recurso, o recorrente terá, a partir de então no termo do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artigo 164, da Lei nº 14.133 de 2021 o prazo de 03 (três) dias úteis, mediante petição digitada devidamente arrazoada, subscrita pelo</w:t>
      </w:r>
      <w:r>
        <w:rPr>
          <w:rFonts w:ascii="Book Antiqua" w:hAnsi="Book Antiqua" w:cs="Book Antiqua"/>
          <w:b w:val="0"/>
          <w:i w:val="0"/>
          <w:caps w:val="0"/>
          <w:smallCaps w:val="0"/>
          <w:strike w:val="0"/>
          <w:color w:val="000000"/>
          <w:spacing w:val="0"/>
          <w:sz w:val="18"/>
          <w:szCs w:val="18"/>
          <w:u w:val="none"/>
          <w:lang w:val="pt-BR" w:bidi="ar-SA"/>
        </w:rPr>
        <w:t xml:space="preserve"> representante da recorrente.</w:t>
      </w:r>
    </w:p>
    <w:p w14:paraId="061AC4D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5F775E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11.3 Os recursos serão dirigidos ao Agente de Contratação nos termos do § 2º do Art. 165, que poderá reconsiderar sua decisão no prazo de 03 (três) dias úteis ou não, neste último será remetido a autoridade competente da Prefeitura Municipal de Rondonópolis/MT.</w:t>
      </w:r>
    </w:p>
    <w:p w14:paraId="47BB231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14BA9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11.4 Os recursos deverão ser encaminhados em local próprio no sistema bllcompras.com, não sendo aceitos recursos interpostos fora do prazo.</w:t>
      </w:r>
    </w:p>
    <w:p w14:paraId="3BDA43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86FE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11.5 – As decisões dos recursos administrativos serão publicadas no Diário Oficial do Município de Rondonópolis – DIORONDON.</w:t>
      </w:r>
    </w:p>
    <w:p w14:paraId="248551F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E1F3F78">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12. MODELO DE EXECUÇÃO DO CONTRATO E DA FISCALIZAÇÃO</w:t>
      </w:r>
    </w:p>
    <w:p w14:paraId="71D03F7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6CD684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 O contrato deverá ser executado fielmente pelas partes, de acordo com as cláusulas avençadas, as normas da Lei nº 14.133/2021 e demais legislações aplicáveis, respondendo cada parte, no que lhe couber, pelas consequências da inexecução total ou parcial.</w:t>
      </w:r>
    </w:p>
    <w:p w14:paraId="108B4BF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6EE1E9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12.1.1. As comunicações entre a Contratante e a Contratada deverão ser realizadas por escrito, sempre que o ato exigir tal formalidade, admitindo-se o uso de mensagem eletrônica para esse fim.</w:t>
      </w:r>
    </w:p>
    <w:p w14:paraId="05A588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2A911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12.1.2. A Contratante poderá convocar representante da empresa para a adoção de providências que devam ser cumpridas de imediato.</w:t>
      </w:r>
    </w:p>
    <w:p w14:paraId="5744B27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1BE3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12.2. O fiscal do contrato acompanhará a execução contratual para assegurar o cumprimento de todas as condições estabelecidas, verificando a quantidade, qualidade e valores dos serviços executados, o atendimento às normas técnicas e aos padrões de qualidade requeridos, bem como o cumprimento das responsabilidades da Contratada, conforme o Projeto Básico e a legislação vigente, de modo a garantir os melhores resultados para a Administração (art. 22, inciso VI, do Decreto nº 11.246/2022).</w:t>
      </w:r>
    </w:p>
    <w:p w14:paraId="795A839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B90FDB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12.3. O fiscal do contrato anotará em histórico próprio todas as ocorrências relacionadas à execução, descrevendo as medidas necessárias à regularização de faltas ou defeitos observados (art. 117, §1º, da Lei nº 14.133/2021 e art. 22, inciso II, do Decreto nº 11.246/2022).</w:t>
      </w:r>
    </w:p>
    <w:p w14:paraId="0A20C0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0D738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12.4. Identificada qualquer irregularidade, o fiscal do contrato emitirá notificação para correção, fixando prazo para saneamento (art. 22, inciso III, do Decreto nº 11.246/2022).</w:t>
      </w:r>
    </w:p>
    <w:p w14:paraId="6A796FB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B7D0C6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12.5. Caso ocorram fatos que possam inviabilizar o cumprimento do cronograma, o fiscal deverá comunicar imediatamente o gestor do contrato (art. 22, inciso V, do Decreto nº 11.246/2022).</w:t>
      </w:r>
    </w:p>
    <w:p w14:paraId="41769A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9028F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12.6. O fiscal do contrato comunicará ao gestor, em tempo hábil, o término da vigência contratual, para providências quanto à renovação, encerramento ou prorrogação (art. 22, inciso VII, do Decreto nº 11.246/2022).</w:t>
      </w:r>
    </w:p>
    <w:p w14:paraId="096F07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B629B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12.7. O gestor do contrato acompanhará os registros efetuados pelos fiscais, analisando as ocorrências e adotando as medidas cabíveis, comunicando à autoridade superior aquelas que extrapolarem sua competência (art. 21, inciso II, do Decreto nº 11.246/2022).</w:t>
      </w:r>
    </w:p>
    <w:p w14:paraId="5E020E2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B95F1A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12.8. O fiscal verificará a manutenção das condições de habilitação da Contratada, o acompanhamento do empenho, pagamento, garantias, glosas e eventuais aditivos, podendo solicitar documentos comprobatórios (art. 23, incisos I e II, do Decreto nº 11.246/2022).</w:t>
      </w:r>
    </w:p>
    <w:p w14:paraId="5CDC2D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697975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12.9. Em caso de descumprimento das obrigações contratuais, o fiscal deverá atuar tempestivamente, comunicando o gestor do contrato para as providências cabíveis (art. 23, inciso IV, do Decreto nº 11.246/2022).</w:t>
      </w:r>
    </w:p>
    <w:p w14:paraId="724F4EB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17BCCA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12.10. A fiscalização poderá determinar, a ônus da contratada, a substituição de equipamentos, serviços ou materiais julgados deficientes ou não conformes com as especificações do Projeto Básico e demais documentos técnicos, devendo a contratada realizar as correções no prazo definido pela fiscalização, sem direito à prorrogação do prazo de execução.</w:t>
      </w:r>
    </w:p>
    <w:p w14:paraId="436D2C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D00D1B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12.11. A contratada somente poderá iniciar os serviços após a assinatura do contrato, conforme minuta constante do Anexo IX deste Edital.</w:t>
      </w:r>
    </w:p>
    <w:p w14:paraId="7CC2C12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4438C9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12.12. Compete à fiscalização da obra/serviço pela equipe designada pela Prefeitura, entre outras atribuições:</w:t>
      </w:r>
    </w:p>
    <w:p w14:paraId="53B38AD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484FC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12.12.1. Verificar a conformidade da execução dos serviços com as normas especificadas em caderno de especificações técnicas, memoriais descritivos, plantas e planilhas orçamentárias e adequação dos procedimentos e materiais empregados à qualidade desejada para os serviços.</w:t>
      </w:r>
    </w:p>
    <w:p w14:paraId="374EBC4D">
      <w:pPr>
        <w:pStyle w:val="143"/>
        <w:spacing w:line="276" w:lineRule="auto"/>
        <w:ind w:left="567"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698AB16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12.12.2. Ordenar à licitante vencedora corrigir, refazer ou reconstruir as partes dos serviços executados com erros, imperfeições ou em desacordo com as especificações.</w:t>
      </w:r>
    </w:p>
    <w:p w14:paraId="7D64D3F9">
      <w:pPr>
        <w:pStyle w:val="143"/>
        <w:spacing w:line="276" w:lineRule="auto"/>
        <w:ind w:left="567"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25D0483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12.13. A contratada deverá manter atualizado o Livro Diário de Obra, assinado por seu responsável técnico e pelo servidor designado para a fiscalização, registrando em cada visita:</w:t>
      </w:r>
    </w:p>
    <w:p w14:paraId="120A677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E531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12.13.1. As atividades desenvolvidas;</w:t>
      </w:r>
    </w:p>
    <w:p w14:paraId="7A43BFE2">
      <w:pPr>
        <w:pStyle w:val="143"/>
        <w:spacing w:line="276" w:lineRule="auto"/>
        <w:ind w:left="1134"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1B221F2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12.13.2. As ocorrências ou observações descritas de forma analítica, adotando as providências para o fiel cumprimento das cláusulas contratuais;</w:t>
      </w:r>
    </w:p>
    <w:p w14:paraId="5BF311D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614C18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12.13.3. As ocorrências que impliquem multas, sanções ou medidas administrativas, as quais deverão ser comunicadas formalmente à Prefeitura.</w:t>
      </w:r>
    </w:p>
    <w:p w14:paraId="4B06105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F35675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12.14. A ação da fiscalização não exonera a licitante vencedora de suas responsabilidades contratuais.</w:t>
      </w:r>
    </w:p>
    <w:p w14:paraId="68179D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C69E6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12.15. Durante a execução do objeto, o fiscal técnico deverá monitorar constantemente o nível de qualidade dos serviços para evitar a sua degeneração, devendo intervir para requerer à CONTRATADA a correção das faltas, falhas e irregularidades constatadas.</w:t>
      </w:r>
    </w:p>
    <w:p w14:paraId="76193B4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24732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12.16. Em caso de dúvidas quanto à interpretação das especificações constantes do Memorial Descritivo e do Estudo Técnico Preliminar – ETP, Projeto Básico, será sempre consultada a Fiscalização, sendo desta o parecer definitivo. A decisão tomada pela Fiscalização deverá ser comunicada à empresa licitante vencedora obrigatoriamente de forma escrita e oficial.</w:t>
      </w:r>
    </w:p>
    <w:p w14:paraId="4848506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BC441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12.17. Na fiscalização, deverão ser observadas todas as condições e diretrizes constantes do Estudo Técnico Preliminar, Projeto Básico e Minuta de Contrato.</w:t>
      </w:r>
    </w:p>
    <w:p w14:paraId="4DD37C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CC360B7">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13. DO GESTOR DO CONTRATO</w:t>
      </w:r>
    </w:p>
    <w:p w14:paraId="5E0B2E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593EAE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13.1.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(art. 21, inciso IV, </w:t>
      </w:r>
      <w:r>
        <w:fldChar w:fldCharType="begin"/>
      </w:r>
      <w:r>
        <w:instrText xml:space="preserve"> HYPERLINK \l "ttps://in.gov.br/en/web/dou/-/decreto-n-11.246-de-27-de-outubro-de-2022-440217660" \o "#ttps://in.gov.br/en/web/dou/-/decreto-n-11.246-de-27-de-outubro-de-2022-440217660"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Decreto nº 11.246/22</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Times New Roman" w:hAnsi="Times New Roman" w:cs="Times New Roman"/>
          <w:b w:val="0"/>
          <w:i w:val="0"/>
          <w:caps w:val="0"/>
          <w:smallCaps w:val="0"/>
          <w:strike w:val="0"/>
          <w:color w:val="000000"/>
          <w:spacing w:val="0"/>
          <w:sz w:val="20"/>
          <w:szCs w:val="20"/>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art. 21 do Decreto Municipal nº 11.685/2023 e art. 117 da Lei nº 14.133/2021).</w:t>
      </w:r>
    </w:p>
    <w:p w14:paraId="69A4BB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0F492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13.2. O gestor do contrato acompanhará a manutenção das condições de habilitação da Contratada, para fins de empenho de despesa e pagamento, e anotará os problemas que obstem o fluxo normal da liquidação e do pagamento da despesa no relatório de riscos eventuais. (art. 21, inciso III, do </w:t>
      </w:r>
      <w:r>
        <w:fldChar w:fldCharType="begin"/>
      </w:r>
      <w:r>
        <w:instrText xml:space="preserve"> HYPERLINK \l "ttps://in.gov.br/en/web/dou/-/decreto-n-11.246-de-27-de-outubro-de-2022-440217660" \o "#ttps://in.gov.br/en/web/dou/-/decreto-n-11.246-de-27-de-outubro-de-2022-440217660"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Decreto nº 11.246/22</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Times New Roman" w:hAnsi="Times New Roman" w:cs="Times New Roman"/>
          <w:b w:val="0"/>
          <w:i w:val="0"/>
          <w:caps w:val="0"/>
          <w:smallCaps w:val="0"/>
          <w:strike w:val="0"/>
          <w:color w:val="000000"/>
          <w:spacing w:val="0"/>
          <w:sz w:val="20"/>
          <w:szCs w:val="20"/>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art. 21 do Decreto Municipal nº 11.685/2023).</w:t>
      </w:r>
    </w:p>
    <w:p w14:paraId="42AAE1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44F91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13.3. O gestor do contrato emitirá documento comprobatório da avaliação realizada pelo fiscais do contrato quanto ao cumprimento de obrigações assumidas pela Contratada, com menção ao seu desempenho na execução contratual, baseado nos indicadores objetivamente definidos e aferidos, e a eventuais penalidades aplicadas, devendo constar do cadastro de atesto de cumprimento de obrigações. (art. 21, inciso VIII, do </w:t>
      </w:r>
      <w:r>
        <w:fldChar w:fldCharType="begin"/>
      </w:r>
      <w:r>
        <w:instrText xml:space="preserve"> HYPERLINK \l "ttps://in.gov.br/en/web/dou/-/decreto-n-11.246-de-27-de-outubro-de-2022-440217660" \o "#ttps://in.gov.br/en/web/dou/-/decreto-n-11.246-de-27-de-outubro-de-2022-440217660"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Decreto nº 11.246/22</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art. 21 do Decreto Municipal nº 11.685/2023).</w:t>
      </w:r>
    </w:p>
    <w:p w14:paraId="6EC2D9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A1B4DC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13.4. O gestor do contrato tomará providências para a formalização de processo administrativo de responsabilização para fins de aplicação de sanções, a ser conduzido pela comissão de que trata o art. 158,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Lei nº 14.133, de 1º de abril de 2021</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ou pelo agente ou pelo setor com competência para tal, conforme o caso. (art. 21, inciso X, do </w:t>
      </w:r>
      <w:r>
        <w:fldChar w:fldCharType="begin"/>
      </w:r>
      <w:r>
        <w:instrText xml:space="preserve"> HYPERLINK \l "ttps://in.gov.br/en/web/dou/-/decreto-n-11.246-de-27-de-outubro-de-2022-440217660" \o "#ttps://in.gov.br/en/web/dou/-/decreto-n-11.246-de-27-de-outubro-de-2022-440217660"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Decreto nº 11.246/22</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1229C3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EDC843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13.5.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em consonância com o art. 120,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Times New Roman" w:hAnsi="Times New Roman" w:cs="Times New Roman"/>
          <w:b w:val="0"/>
          <w:i w:val="0"/>
          <w:caps w:val="0"/>
          <w:smallCaps w:val="0"/>
          <w:strike w:val="0"/>
          <w:color w:val="000000"/>
          <w:spacing w:val="0"/>
          <w:sz w:val="20"/>
          <w:szCs w:val="20"/>
          <w:u w:val="none"/>
          <w:lang w:val="pt-BR" w:bidi="ar-SA"/>
        </w:rPr>
        <w:t>Lei nº 14.133, de 1º de abril de 2021</w:t>
      </w:r>
      <w:r>
        <w:rPr>
          <w:rStyle w:val="247"/>
          <w:rFonts w:ascii="Times New Roman" w:hAnsi="Times New Roman" w:cs="Times New Roman"/>
          <w:b w:val="0"/>
          <w:i w:val="0"/>
          <w:caps w:val="0"/>
          <w:smallCaps w:val="0"/>
          <w:strike w:val="0"/>
          <w:color w:val="000000"/>
          <w:spacing w:val="0"/>
          <w:sz w:val="20"/>
          <w:szCs w:val="20"/>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1D3CD87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D0811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13.6. O gestor do contrato deverá enviar a documentação pertinente ao setor de contratos para a formalização dos procedimentos de liquidação e pagamento, no valor dimensionado pela fiscalização e gestão nos termos do contrato.</w:t>
      </w:r>
    </w:p>
    <w:p w14:paraId="0DF7C5E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A5ECB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13.7. O contratado deverá manter preposto aceito pela Administração no local do serviço para representá-lo na execução do contrato.</w:t>
      </w:r>
    </w:p>
    <w:p w14:paraId="69DE5D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66140B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13.8. A indicação ou a manutenção do preposto da empresa poderá ser recusada pelo órgão, desde que devidamente justificada, devendo a empresa designar outro para o exercício da atividade.</w:t>
      </w:r>
    </w:p>
    <w:p w14:paraId="5F4B03B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C11C88">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14. CRITÉRIOS DE MEDIÇÃO E PAGAMENTO</w:t>
      </w:r>
    </w:p>
    <w:p w14:paraId="6F9732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BFB5C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 A emissão da Nota Fiscal/Fatura deve ser precedida do recebimento definitivo dos serviços, nos termos abaixo:</w:t>
      </w:r>
    </w:p>
    <w:p w14:paraId="5447C08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FD7FD9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shd w:val="clear" w:color="auto" w:fill="FFFF00"/>
          <w:lang w:val="pt-BR" w:bidi="ar-SA"/>
        </w:rPr>
        <w:t xml:space="preserve">14.1.1. A primeira medição e consequente pagamento ocorrerão </w:t>
      </w:r>
      <w:r>
        <w:rPr>
          <w:rFonts w:ascii="Book Antiqua" w:hAnsi="Book Antiqua" w:cs="Book Antiqua"/>
          <w:b w:val="0"/>
          <w:i w:val="0"/>
          <w:caps w:val="0"/>
          <w:smallCaps w:val="0"/>
          <w:strike w:val="0"/>
          <w:color w:val="000000"/>
          <w:spacing w:val="0"/>
          <w:sz w:val="18"/>
          <w:szCs w:val="18"/>
          <w:u w:val="single"/>
          <w:shd w:val="clear" w:color="auto" w:fill="FFFF00"/>
          <w:lang w:val="pt-BR" w:bidi="ar-SA"/>
        </w:rPr>
        <w:t>após o início efetivo da execução dos serviços</w:t>
      </w:r>
      <w:r>
        <w:rPr>
          <w:rFonts w:ascii="Book Antiqua" w:hAnsi="Book Antiqua" w:cs="Book Antiqua"/>
          <w:b/>
          <w:i w:val="0"/>
          <w:caps w:val="0"/>
          <w:smallCaps w:val="0"/>
          <w:strike w:val="0"/>
          <w:color w:val="000000"/>
          <w:spacing w:val="0"/>
          <w:sz w:val="18"/>
          <w:szCs w:val="18"/>
          <w:u w:val="single"/>
          <w:shd w:val="clear" w:color="auto" w:fill="FFFF00"/>
          <w:lang w:val="pt-BR" w:bidi="ar-SA"/>
        </w:rPr>
        <w:t>, conforme o cronograma físico-financeiro e as medições aprovadas pela fiscalização, nos termos do Projeto Básico.</w:t>
      </w:r>
    </w:p>
    <w:p w14:paraId="58F03A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100E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14.1.2. Ao final de cada etapa da execução contratual, conforme previsto no Cronograma Físico-Financeiro, a Contratada, apresentará a medição prévia dos serviços executados no período, através de planilha e memória de cálculo detalhada.</w:t>
      </w:r>
    </w:p>
    <w:p w14:paraId="5F0316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AB61B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14.1.3. Uma etapa será considerada efetivamente concluída quando os serviços previstos para aquela etapa, no Cronograma Físico-Financeiro, estiverem executados em sua totalidade.</w:t>
      </w:r>
    </w:p>
    <w:p w14:paraId="6AE36CD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2AF1D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14.1.4. A Contratada também apresentará, a cada medição, os documentos comprobatórios da procedência legal dos produtos e subprodutos utilizados naquela etapa da execução contratual, quando for o caso.</w:t>
      </w:r>
    </w:p>
    <w:p w14:paraId="64D1CC7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C17C4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14.1.5. Ao final de cada período de faturamento, o fiscal técnico do contrato apurará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CE7057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4FC854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14.1.6.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7DAD5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556A76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14.1.7. A aprovação da medição prévia apresentada pela Contratada não a exime de qualquer das responsabilidades contratuais, nem implica aceitação definitiva dos serviços executados.</w:t>
      </w:r>
    </w:p>
    <w:p w14:paraId="0A5BF53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C5DE03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14.1.8. Os serviços poderão ser rejeitados, no todo ou em parte, quando em desacordo com as especificações, devendo ser corrigidos/refeitos/substituídos no prazo fixado pelo fiscal do contrato, às custas da Contratada, sem prejuízo da aplicação de penalidades.</w:t>
      </w:r>
    </w:p>
    <w:p w14:paraId="73D5BCC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A8118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14.1.9. O pagamento será efetuado à empresa Contratada no prazo de até 30 (trinta) dias corridos, de acordo com o cronograma físico-financeiro constante do Projeto Básico, contados da data do atesto da área competente da Prefeitura, aposto nos documentos de cobrança, e de acordo com a evolução da obra, conforme cronograma físico-financeiro apresentado pela Secretaria Demandante. Não será efetuado qualquer pagamento à licitante vencedora enquanto perdurar pendência de liquidação de obrigações em virtude de penalidades ou inadimplência contratual.</w:t>
      </w:r>
    </w:p>
    <w:p w14:paraId="5832AA0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2E7D5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14.1.10. Não será efetuado qualquer pagamento à Contratada enquanto perdurar pendência de liquidação de obrigações em virtude de penalidades ou inadimplência contratual.</w:t>
      </w:r>
    </w:p>
    <w:p w14:paraId="69AFB1F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5AF7DD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14.1.11. A liberação do pagamento ficará condicionada a consulta prévia ao Sistema de Cadastramento da Prefeitura para verificação da situação da Contratada em relação às condições de habilitação e qualificação exigidas, cujo resultado será impresso e juntado aos autos do processo.</w:t>
      </w:r>
    </w:p>
    <w:p w14:paraId="12E3DC1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42EBF5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14.1.12. O Contratante pagará a(s) Nota(s) Fiscal (is) / Fatura(s) somente à Contratada, vedada sua negociação com terceiros ou sua colocação em cobrança bancária.</w:t>
      </w:r>
    </w:p>
    <w:p w14:paraId="2EBA8E3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16F8D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14.1.13. A empresa Contratada deverá fazer constar na Nota Fiscal/Fatura correspondente, emitida sem rasura, e em letra bem legível, o número de sua conta-corrente, o nome do Banco e a respectiva Agência.</w:t>
      </w:r>
    </w:p>
    <w:p w14:paraId="216623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83858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14.1.14. A Fiscalização da Prefeitura somente atestará a execução dos serviços e liberará a Nota Fiscal para pagamento, quando cumpridas, pela CONTRATADA, todas as condições pactuadas.</w:t>
      </w:r>
    </w:p>
    <w:p w14:paraId="787B91C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46251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14.1.15. Os pagamentos serão efetuados por etapas de serviços executados, de acordo com o cronograma físico-financeiro e planilha orçamentária apresentada, não se admitindo em nenhuma hipótese o pagamento de materiais entregues no local do objeto.</w:t>
      </w:r>
    </w:p>
    <w:p w14:paraId="37A1AE5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DE7740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14.1.16. Para efeito de pagamento das etapas de serviços executados, será observado o que estabelecem as legislações vigentes do INSS e FGTS quanto aos procedimentos de retenção, recolhimento e fiscalizações relativas aos encargos previdenciários.</w:t>
      </w:r>
    </w:p>
    <w:p w14:paraId="5F661F4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AE8CC7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14.1.17.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Prefeitura.</w:t>
      </w:r>
    </w:p>
    <w:p w14:paraId="008723DE">
      <w:pPr>
        <w:pStyle w:val="143"/>
        <w:spacing w:line="276" w:lineRule="auto"/>
        <w:jc w:val="both"/>
        <w:rPr>
          <w:rFonts w:ascii="Book Antiqua" w:hAnsi="Book Antiqua" w:cs="Book Antiqua"/>
          <w:b/>
          <w:bCs w:val="0"/>
          <w:i w:val="0"/>
          <w:caps w:val="0"/>
          <w:smallCaps w:val="0"/>
          <w:strike w:val="0"/>
          <w:color w:val="000000"/>
          <w:spacing w:val="0"/>
          <w:sz w:val="18"/>
          <w:szCs w:val="18"/>
          <w:highlight w:val="none"/>
          <w:u w:val="none"/>
          <w:lang w:val="pt-BR" w:bidi="ar-SA"/>
        </w:rPr>
      </w:pPr>
    </w:p>
    <w:p w14:paraId="6520B120">
      <w:pPr>
        <w:pStyle w:val="143"/>
        <w:spacing w:line="276" w:lineRule="auto"/>
        <w:jc w:val="both"/>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14.2. DOS BOLETINS DE MEDIÇÃO E MEMORIAL DE CÁLCULO</w:t>
      </w:r>
    </w:p>
    <w:p w14:paraId="5907E5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DE6B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14.2.1. Ao final de cada mês e ao final do serviço, a CONTRATADA deve proceder à elaboração dos Boletins de Medição e respectivo Memorial de Cálculo, os quais deverão ser sequencialmente numerados e conter, no cabeçalho, as seguintes informações mínimas:</w:t>
      </w:r>
    </w:p>
    <w:p w14:paraId="2E8082C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209190C3">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Número e data do contrato;</w:t>
      </w:r>
    </w:p>
    <w:p w14:paraId="264C5AB0">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Número e data da Ordem Inicial de Serviço (OIS);</w:t>
      </w:r>
    </w:p>
    <w:p w14:paraId="14454B53">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da Contratada;</w:t>
      </w:r>
    </w:p>
    <w:p w14:paraId="73203A7E">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Data-Base de Referência;</w:t>
      </w:r>
    </w:p>
    <w:p w14:paraId="7E01AF56">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Período da medição;</w:t>
      </w:r>
    </w:p>
    <w:p w14:paraId="748603C8">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Data da medição;</w:t>
      </w:r>
    </w:p>
    <w:p w14:paraId="6E868D3F">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Saldo contratual.</w:t>
      </w:r>
    </w:p>
    <w:p w14:paraId="6A05AAC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5A90865F">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14.2.2. Os boletins de medição precisam ter, necessariamente, as seguintes colunas:</w:t>
      </w:r>
    </w:p>
    <w:p w14:paraId="0CDFDB03">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253C324">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Descrição do item;</w:t>
      </w:r>
    </w:p>
    <w:p w14:paraId="2D03FB5C">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Unidade de apropriação (m, kg, um, t, m², m³, etc.);</w:t>
      </w:r>
    </w:p>
    <w:p w14:paraId="29AAA824">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Quantidade prevista em contrato;</w:t>
      </w:r>
    </w:p>
    <w:p w14:paraId="17866D68">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Preço Unitário;</w:t>
      </w:r>
    </w:p>
    <w:p w14:paraId="6C2AC1CB">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Quantidade medida no período;</w:t>
      </w:r>
    </w:p>
    <w:p w14:paraId="4E5488B9">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Quantidade medida acumulada;</w:t>
      </w:r>
    </w:p>
    <w:p w14:paraId="596E13CB">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Código do serviço (vinculando-o à tabela de referência utilizada);</w:t>
      </w:r>
    </w:p>
    <w:p w14:paraId="35DC4988">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Preço unitário de referência no orçamento básico;</w:t>
      </w:r>
    </w:p>
    <w:p w14:paraId="506A0B32">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Quantidade medida até a medição anterior;</w:t>
      </w:r>
    </w:p>
    <w:p w14:paraId="48D88765">
      <w:pPr>
        <w:pStyle w:val="143"/>
        <w:numPr>
          <w:ilvl w:val="0"/>
          <w:numId w:val="5"/>
        </w:numPr>
        <w:spacing w:line="276" w:lineRule="auto"/>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Saldo (quantitativo de cada serviço).</w:t>
      </w:r>
    </w:p>
    <w:p w14:paraId="41875BE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60259A5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14.2.3. Memorial de Cálculo que serão lançados no Boletim de Medição contendo todos os Cálculos Aritméticos;</w:t>
      </w:r>
    </w:p>
    <w:p w14:paraId="10C37B3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62BAA2B">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14.2.4. Documentos diversos: declaração, ficha de cotações, testes e ensaios em geral quando necessário;</w:t>
      </w:r>
    </w:p>
    <w:p w14:paraId="669F015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4F76956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14.2.5. Relatório Fotográfico com no mínimo 20 (vinte) fotos datadas e georreferenciadas;</w:t>
      </w:r>
    </w:p>
    <w:p w14:paraId="3D44877D">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2C7F22A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14.2.6. Todos os documentos relativos ao Boletim de Medição devem ser devidamente assinados pelos profissionais que atuaram na sua elaboração.</w:t>
      </w:r>
    </w:p>
    <w:p w14:paraId="5C62708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9D39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14.2.7. O pagamento ficará condicionado, ainda, ao cumprimento das condições estabelecidas no Projeto Básico e na Minuta de Contrato, que integram este edital.</w:t>
      </w:r>
    </w:p>
    <w:p w14:paraId="5F20E3F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3D19DAE">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15. DAS OBRIGAÇÕES DO LICITANTE VENCEDOR</w:t>
      </w:r>
    </w:p>
    <w:p w14:paraId="085D7F8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2D10E60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 Executar os serviços, objeto desta licitação, observando este Projeto Básico e, de modo geral, as Especificações e as Normas Técnicas vigentes, aquelas complementares e particulares e outras pertinentes aos serviços em licitação, constantes dos respectivos projetos, as instruções, recomendações e determinações da Fiscalização e, quando houver, da Supervisão e dos Órgãos Ambientais.</w:t>
      </w:r>
    </w:p>
    <w:p w14:paraId="20FA1F5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103F5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 Elaborar e manter o Diário de Obras, que será preenchido diariamente pelo engenheiro residente da empresa e pelo fiscal da Administração Pública. Ao término de cada mês, uma via do Diário de Obras deverá será anexado à medição mensal dos serviços executados, devendo permanecer outra via arquivada no canteiro de obras da empresa.</w:t>
      </w:r>
    </w:p>
    <w:p w14:paraId="2C1C339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989C23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15.3. Prestar os serviços dentro dos parâmetros e rotinas estabelecidos, fornecendo todos os materiais, equipamentos e utensílios em quantidade, qualidade e tecnologia adequadas, com a observância às recomendações aceitas pela boa técnica, normas e legislação.</w:t>
      </w:r>
    </w:p>
    <w:p w14:paraId="5B4D8A5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50B9C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15.4. Manter em perfeito estado de limpeza os locais afetados pela execução dos serviços, recolhendo os entulhos, dando-lhes o destino adequado.</w:t>
      </w:r>
    </w:p>
    <w:p w14:paraId="00F9EE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521A81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15.5. Prestar assessoria técnica com orientações, sugestões, instruções ou recomendações, exemplos de aplicação em outros serviços e assistências técnicas de interesse do Município de Rondonópolis/MT em relação a serviços e atividades que envolvam o objeto do contrato, fornecendo normas para aperfeiçoar e garantir eficiência aos serviços.</w:t>
      </w:r>
    </w:p>
    <w:p w14:paraId="2AAEBC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F113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15.6. Manter, durante a execução dos serviços, o pessoal devidamente uniformizado, limpo, em boas condições de higiene e segurança, identificados com crachás e usando, quando for o caso, equipamento de proteção individual (EPI) apropriado. Assegurar aos seus trabalhadores ambiente de trabalho, inclusive equipamentos e instalações, em condições adequadas ao cumprimento das normas de saúde, segurança e bem-estar no trabalho.</w:t>
      </w:r>
    </w:p>
    <w:p w14:paraId="215147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2E3B62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15.7. Comunicar a Secretaria de Infraestrutura, sempre que for iniciar uma atividade ou da conclusão de atividades em execução, mantendo estreita comunicação com a fiscalização.</w:t>
      </w:r>
    </w:p>
    <w:p w14:paraId="290453E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79AD4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15.8. Pagar em dia os salários e demais benefícios aos seus empregados, bem como recolher, no prazo legal, todos os encargos e tributos.</w:t>
      </w:r>
    </w:p>
    <w:p w14:paraId="73D2FC2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7121FC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15.9. Sempre que solicitado pelo Fiscal do contrato, comprovar a vinculação dos funcionários ao contrato.</w:t>
      </w:r>
    </w:p>
    <w:p w14:paraId="4AC756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FBF7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15.10. Manter durante toda a vigência do contrato, em compatibilidade com as obrigações assumidas, todas as condições de habilitação e qualificação exigidas na licitação.</w:t>
      </w:r>
    </w:p>
    <w:p w14:paraId="023A2E8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CD2E6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15.11. Refazer, às suas expensas, os trabalhos executados em desacordo com o estabelecido no instrumento contratual, no Projeto Básico e seus anexos, bem como substituir aqueles realizados com materiais defeituosos ou com vício de construção, pelo prazo de 05 (cinco) anos, contado da data de emissão do Termo de Recebimento Definitivo.</w:t>
      </w:r>
    </w:p>
    <w:p w14:paraId="2BEB88B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465289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15.12. Responsabilizar-se pela perfeita execução e completo acabamento dos serviços contratados, obrigando-se a prestar assistência técnica e administrativa necessária para assegurar andamento conveniente dos trabalhos.</w:t>
      </w:r>
    </w:p>
    <w:p w14:paraId="205E9F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92A973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15.13. Submeter à fiscalização as amostras de todos os materiais a serem empregados nos serviços antes da sua execução, quando solicitado.</w:t>
      </w:r>
    </w:p>
    <w:p w14:paraId="5ACE73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B4B5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15.14. Responsabilizar-se pelos ônus resultantes de quaisquer ações, demandas, custos e despesas decorrentes de danos, ocorridos por culpa sua ou de qualquer de seus empregados e prepostos, obrigando-se por quaisquer responsabilidades decorrentes de ações judiciais movidas por terceiros, que lhe venham a ser exigidas por força de lei, ligadas ao cumprimento do presente edital.</w:t>
      </w:r>
    </w:p>
    <w:p w14:paraId="30D87C3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E977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15.15. Responder por danos materiais, ou físicos, causados por seus empregados diretamente ao Município de Rondonópolis/MT ou a terceiros, decorrentes de sua culpa ou dolo.</w:t>
      </w:r>
    </w:p>
    <w:p w14:paraId="32AD60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E3B345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15.16. Prestar esclarecimentos a Administração Pública sobre eventuais atos ou fatos noticiados que a envolva, independente de solicitação.</w:t>
      </w:r>
    </w:p>
    <w:p w14:paraId="5CE6355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4B4E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15.17. Comunicar ao Fiscal do contrato, no prazo de 24 (vinte e quatro) horas, qualquer ocorrência anormal ou acidente que se verifique no local dos serviços.</w:t>
      </w:r>
    </w:p>
    <w:p w14:paraId="608B10A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171B2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15.18. Paralisar, por determinação da Contratante, qualquer atividade que não esteja sendo executada de acordo com a boa técnica ou que ponha em risco a segurança de pessoas ou bens de terceiros.</w:t>
      </w:r>
    </w:p>
    <w:p w14:paraId="449AC53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F8074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15.19. A empresa deverá manter no canteiro de obras cópia do contrato, CREA e ART do engenheiro responsável técnico, licenças ambientais e demais documentos referentes aos serviços.</w:t>
      </w:r>
    </w:p>
    <w:p w14:paraId="59758C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5AA0A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15.20. O descumprimento total ou parcial das obrigações e responsabilidades assumidas pela Contratada, sobretudo quanto às obrigações e encargos sociais e trabalhistas, ensejará a aplicação de sanções administrativas, previstas no Projeto Básico e na legislação vigente, podendo culminar em extinção do contrato, conforme disposto nos art. 155 e 156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42E9376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1039F5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15.21. 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no Projeto Básico e demais documentos anexos.</w:t>
      </w:r>
    </w:p>
    <w:p w14:paraId="694B6A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3B2DC1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15.22. 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14:paraId="31BEFE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7956C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15.23. Obter junto aos órgãos competentes, conforme o caso, as licenças necessárias e demais documentos e autorizações exigíveis, na forma da legislação aplicável.</w:t>
      </w:r>
    </w:p>
    <w:p w14:paraId="7EAC93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9DFE1B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15.24. Adotar as providências e precauções necessárias, inclusive consulta nos respectivos órgãos, se necessário for, a fim de que não venham a ser danificadas as redes hidrossanitárias, elétricas e de comunicação.</w:t>
      </w:r>
    </w:p>
    <w:p w14:paraId="653A81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6064B9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15.25. Alocar profissionais altamente especializados para o desenvolvimento dos trabalhos. A qualquer tempo, a Fiscalização poderá solicitar a substituição de qualquer membro da equipe técnica da licitante vencedora, desde que entenda que seja benéfico ao desenvolvimento dos trabalhos.</w:t>
      </w:r>
    </w:p>
    <w:p w14:paraId="2019993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81FB9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15.26. Guardar sigilo sobre todas as informações obtidas em decorrência do cumprimento do contrato.</w:t>
      </w:r>
    </w:p>
    <w:p w14:paraId="690EC1D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8D79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15.27. Não permitir a utilização de qualquer trabalho do menor de dezesseis anos, exceto na condição de aprendiz para os maiores de quatorze anos; nem permitir a utilização do trabalho do menor de dezoito anos em trabalho noturno, perigoso ou insalubre.</w:t>
      </w:r>
    </w:p>
    <w:p w14:paraId="1A39408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7EDC0E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15.28. Submeter previamente, por escrito, à Contratante, para análise e aprovação, quaisquer mudanças nos métodos executivos que fujam às especificações do memorial descritivo.</w:t>
      </w:r>
    </w:p>
    <w:p w14:paraId="4B9379A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500F7D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15.29. 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w:t>
      </w:r>
      <w:r>
        <w:fldChar w:fldCharType="begin"/>
      </w:r>
      <w:r>
        <w:instrText xml:space="preserve"> HYPERLINK \l "ttps://www.planalto.gov.br/ccivil_03/_ato2015-2018/2015/lei/l13146.htm" \o "#ttps://www.planalto.gov.br/ccivil_03/_ato2015-2018/2015/lei/l13146.htm"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13.146, de 2015</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(art. 116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12749C9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ADD3A9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15.30.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797FFE7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51317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15.31. Observar as diretrizes, critérios e procedimentos para a gestão dos resíduos da construção civil estabelecidos na </w:t>
      </w:r>
      <w:r>
        <w:fldChar w:fldCharType="begin"/>
      </w:r>
      <w:r>
        <w:instrText xml:space="preserve"> HYPERLINK \l "ttps://cetesb.sp.gov.br/licenciamento/documentos/2002_Res_CONAMA_307.pdf" \o "#ttps://cetesb.sp.gov.br/licenciamento/documentos/2002_Res_CONAMA_307.pdf"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Resolução nº 307, de 05 de julho de 2002</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com as alterações posteriores, do Conselho Nacional de Meio Ambiente - CONAMA, conforme art. 4°, §§ 2° e 3°, da </w:t>
      </w:r>
      <w:r>
        <w:fldChar w:fldCharType="begin"/>
      </w:r>
      <w:r>
        <w:instrText xml:space="preserve"> HYPERLINK \l "ttps://www.ibama.gov.br/sophia/cnia/legislacao/MPOG/IN0001-190110.PDF" \o "#ttps://www.ibama.gov.br/sophia/cnia/legislacao/MPOG/IN0001-190110.PDF"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Instrução Normativa SLTI/MP n° 1, de 19 de janeiro de 2010</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565C2F2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CDE3A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15.32. 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2E2C955B">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2CDB96CF">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15.33. Receber e dar o tratamento adequado a denúncias de discriminação, violência e assédio no ambiente de trabalho.</w:t>
      </w:r>
    </w:p>
    <w:p w14:paraId="30F492E9">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5BD24ACC">
      <w:pPr>
        <w:pStyle w:val="213"/>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single"/>
          <w:lang w:val="pt-BR" w:bidi="ar-SA"/>
        </w:rPr>
        <w:t>15.34. A Contratada deverá assegurar livre acesso aos documentos e registros contábeis relativos à execução do contrato aos servidores e empregados designados pela Administração, bem como aos órgãos de controle interno e externo, conforme art. 121, §3º, da Lei nº 14.133/2021.</w:t>
      </w:r>
    </w:p>
    <w:p w14:paraId="6A3F59C8">
      <w:pPr>
        <w:pStyle w:val="143"/>
        <w:rPr>
          <w:rFonts w:ascii="Times New Roman" w:hAnsi="Times New Roman" w:cs="Times New Roman"/>
          <w:b w:val="0"/>
          <w:i w:val="0"/>
          <w:caps w:val="0"/>
          <w:smallCaps w:val="0"/>
          <w:strike w:val="0"/>
          <w:color w:val="000000"/>
          <w:spacing w:val="0"/>
          <w:sz w:val="20"/>
          <w:szCs w:val="20"/>
          <w:u w:val="none"/>
          <w:lang w:val="pt-BR" w:bidi="ar-SA"/>
        </w:rPr>
      </w:pPr>
    </w:p>
    <w:p w14:paraId="756A0D0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15.35. A execução de todos os serviços será condicionada as demais condições relacionadas ao Estudo Técnico Preliminar - ETP, Projeto Básico/Minuta de Contrato.</w:t>
      </w:r>
    </w:p>
    <w:p w14:paraId="1C9BB34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BF45065">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16. OBRIGAÇÕES DA CONTRATANTE</w:t>
      </w:r>
    </w:p>
    <w:p w14:paraId="1422F06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4489AB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16.1. A Administração Municipal deverá indicar pelo menos um representante legal para acompanhar e fiscalizar a execução das atividades inerentes aos objetos contratados, conforme dispõe o art. 117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assim como, fazer cumprir fielmente o que estabelece este Edital e todas as demais disposições legais para contratação e execução dos serviços e obras viárias.</w:t>
      </w:r>
    </w:p>
    <w:p w14:paraId="44D88E0B">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7002DB4">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16.2. A fiscalização deverá registrar as ocorrências e as deficiências verificadas, oficiando à licitante vencedora para a imediata correção das irregularidades apontadas.</w:t>
      </w:r>
    </w:p>
    <w:p w14:paraId="3ED5D1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E8BCA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16.3. Proporcionar todas as condições necessárias para que a Licitante vencedora possa cumprir o objeto desta licitação.</w:t>
      </w:r>
    </w:p>
    <w:p w14:paraId="58C61D4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DEF1C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16.4. Fornecer a qualquer tempo e com o máximo de presteza, mediante solicitação escrita da Contratada, informações adicionais, dirimir dúvidas e orientá-la em casos omissos.</w:t>
      </w:r>
    </w:p>
    <w:p w14:paraId="28CD879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9859ED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16.5. A existência e a atuação da fiscalização da Administração Municipal em nada restringe a responsabilidade técnica única, integral e exclusiva da Licitante vencedora, no que concerne à execução do objeto contratado.</w:t>
      </w:r>
    </w:p>
    <w:p w14:paraId="3FCDE41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F9201D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16.6. Efetuar o pagamento mensal nas condições pactuadas.</w:t>
      </w:r>
    </w:p>
    <w:p w14:paraId="024AD9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8AB20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16.7. Explicitamente emitir decisão sobre todas as solicitações e reclamações relacionadas à execução do Contrato, ressalvados os requerimentos manifestamente impertinentes, meramente protelatórios ou de nenhum interesse para a boa execução do ajuste.</w:t>
      </w:r>
    </w:p>
    <w:p w14:paraId="0C410F2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7A21D9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16.8. Responder eventuais pedidos de restabelecimento do equilíbrio econômico-financeiro feitos pela Contratada no prazo máximo de 90 dias.</w:t>
      </w:r>
    </w:p>
    <w:p w14:paraId="38DBF62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091A57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16.9. Notificar os emitentes das garantias quanto ao início de processo administrativo para apuração de descumprimento de cláusulas contratuais.</w:t>
      </w:r>
    </w:p>
    <w:p w14:paraId="0F352C3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F92299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16.10. A Sinfra Municipal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027B447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1A50D1">
      <w:pPr>
        <w:pStyle w:val="143"/>
        <w:spacing w:line="276" w:lineRule="auto"/>
        <w:jc w:val="both"/>
        <w:rPr>
          <w:rFonts w:ascii="Times New Roman" w:hAnsi="Times New Roman" w:cs="Times New Roman"/>
          <w:b w:val="0"/>
          <w:bCs w:val="0"/>
          <w:i w:val="0"/>
          <w:caps w:val="0"/>
          <w:smallCaps w:val="0"/>
          <w:strike w:val="0"/>
          <w:color w:val="000000"/>
          <w:spacing w:val="0"/>
          <w:sz w:val="20"/>
          <w:szCs w:val="20"/>
          <w:highlight w:val="none"/>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16.11. Outras obrigações definidas no Estudo Técnico Preliminar – ETP, Projeto Básico e contrato constante do </w:t>
      </w:r>
      <w:r>
        <w:rPr>
          <w:rFonts w:ascii="Book Antiqua" w:hAnsi="Book Antiqua" w:cs="Book Antiqua"/>
          <w:b w:val="0"/>
          <w:i w:val="0"/>
          <w:caps w:val="0"/>
          <w:smallCaps w:val="0"/>
          <w:strike w:val="0"/>
          <w:color w:val="000000"/>
          <w:spacing w:val="0"/>
          <w:sz w:val="18"/>
          <w:szCs w:val="18"/>
          <w:u w:val="none"/>
          <w:shd w:val="clear" w:color="auto" w:fill="FFFF00"/>
          <w:lang w:val="pt-BR" w:bidi="ar-SA"/>
        </w:rPr>
        <w:t>Anexo IX</w:t>
      </w:r>
      <w:r>
        <w:rPr>
          <w:rFonts w:ascii="Book Antiqua" w:hAnsi="Book Antiqua" w:cs="Book Antiqua"/>
          <w:b w:val="0"/>
          <w:i w:val="0"/>
          <w:caps w:val="0"/>
          <w:smallCaps w:val="0"/>
          <w:strike w:val="0"/>
          <w:color w:val="000000"/>
          <w:spacing w:val="0"/>
          <w:sz w:val="18"/>
          <w:szCs w:val="18"/>
          <w:u w:val="none"/>
          <w:lang w:val="pt-BR" w:bidi="ar-SA"/>
        </w:rPr>
        <w:t xml:space="preserve"> deste Edital.</w:t>
      </w:r>
    </w:p>
    <w:p w14:paraId="20297DFB">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5E948F98">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17. DAS INFRAÇÕES E SANÇÕES ADMINISTRATIVAS</w:t>
      </w:r>
    </w:p>
    <w:p w14:paraId="6E3D3DB7">
      <w:pPr>
        <w:pStyle w:val="143"/>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350D86A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17.1. Descumpridas as obrigações e condições de licitação/contratações previstas no Projeto Básico, e/ou, no Edital, e/ou no Contrato, serão aplicadas as penalidades conforme hipótese e gradação descritas nos artigos 155, 156 e ss. da Lei nº 14.133, de 1º de abril de 2021.</w:t>
      </w:r>
    </w:p>
    <w:p w14:paraId="0457D0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7C9EA9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17.2. Comete infração administrativa, nos termos da Lei nº 14.133, de 1º de abril de 2021 e do art. 201 do Decreto Municipal 11.685 de 18 de setembro de 2023, a Licitante/Contratada que:</w:t>
      </w:r>
    </w:p>
    <w:p w14:paraId="63CF38F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9D791F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der causa à inexecução parcial do contrato;</w:t>
      </w:r>
    </w:p>
    <w:p w14:paraId="2704E4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 der causa à inexecução parcial do contrato que cause grave dano à Administração ou ao funcionamento dos serviços públicos ou ao interesse coletivo;</w:t>
      </w:r>
    </w:p>
    <w:p w14:paraId="3FDECE3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 der causa à inexecução total do contrato;</w:t>
      </w:r>
    </w:p>
    <w:p w14:paraId="13B302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 deixar de entregar a documentação exigida para o certame;</w:t>
      </w:r>
    </w:p>
    <w:p w14:paraId="4189AEC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e) não manter a proposta, salvo em decorrência de fato superveniente devidamente justificado;</w:t>
      </w:r>
    </w:p>
    <w:p w14:paraId="0E68CC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f) não celebrar o contrato ou não entregar a documentação exigida para a contratação, quando convocado dentro do prazo</w:t>
      </w:r>
    </w:p>
    <w:p w14:paraId="5F28DA7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 validade de sua proposta;</w:t>
      </w:r>
    </w:p>
    <w:p w14:paraId="750E606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g) ensejar o retardamento da execução ou da entrega do objeto da contratação sem motivo justificado;</w:t>
      </w:r>
    </w:p>
    <w:p w14:paraId="464645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h) apresentar declaração ou documentação falsa exigida para o certame ou prestar declaração falsa durante a licitação ou a execução do contrato;</w:t>
      </w:r>
    </w:p>
    <w:p w14:paraId="05007F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fraudar a licitação ou praticar ato fraudulento na execução do contrato;</w:t>
      </w:r>
    </w:p>
    <w:p w14:paraId="3AFD11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j) comportar-se de modo inidôneo ou cometer fraude de qualquer natureza;</w:t>
      </w:r>
    </w:p>
    <w:p w14:paraId="2113CB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k) praticar atos ilícitos com vistas a frustrar os objetivos da licitação;</w:t>
      </w:r>
    </w:p>
    <w:p w14:paraId="3838B3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 praticar ato lesivo previsto no art. 5º da Lei nº 12.846, de 1º de agosto de 2013.</w:t>
      </w:r>
    </w:p>
    <w:p w14:paraId="4EB036D0">
      <w:pPr>
        <w:pStyle w:val="143"/>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17.3. Serão aplicadas à Licitante/Contratada que incorrer nas infrações acima descritas as seguintes sanções:</w:t>
      </w:r>
    </w:p>
    <w:p w14:paraId="135ED95E">
      <w:pPr>
        <w:pStyle w:val="143"/>
        <w:spacing w:before="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 Advertência, quando a Contratada der causa à inexecução parcial do contrato, sempre que não se justificar a imposição de penalidade mais grave (art. 156, §2º, da Lei nº 14.133, de 1º de abril de 2021 e art. 202 do Decreto Municipal 11.685 de 18 de setembro de 2023).</w:t>
      </w:r>
    </w:p>
    <w:p w14:paraId="50FEE18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433DBD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 Impedimento de licitar e contratar, quando praticadas as condutas descritas nas alíneas “b”, “c”, “d”, “e”, “f” e “g” do subitem acima, sempre que não se justificar a imposição de penalidade mais grave e impedirá o responsável de licitar ou contratar no âmbito da Administração Pública direta e indireta do ente federativo que tiver aplicado a sanção, pelo prazo máximo de 3 (três) anos. (art. 156, § 4º, da Lei nº 14.133, de 1º de abril de 2021 e art. 203 do Decreto Municipal 11.685 de 18 de setembro de 2023).</w:t>
      </w:r>
    </w:p>
    <w:p w14:paraId="0F7F42D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A6379B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 Declaração de inidoneidade para licitar e contratar, quando praticadas as condutas descritas nas alíneas “h”, “i”, “j” “k” e “l” do subitem acima, bem como nas alíneas “b”, “c”, “d”, “e”, “f” e “g”, que justifiquem a imposição de penalidade mais grave que o impedimento de licitar e contratar e impedirá o responsável de licitar ou contratar no âmbito da Administração Pública direta e indireta de todos os entes federativos, pelo prazo mínimo de 3 (três) anos e máximo de 6 (seis) anos (art. 156, §5º, da Lei nº 14.133, de 1º de abril de 2021 e art. 204 do Decreto Municipal 11.685 de 18 de setembro de 2023).</w:t>
      </w:r>
    </w:p>
    <w:p w14:paraId="39AE8F1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D820B9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IV – Multa:</w:t>
      </w:r>
    </w:p>
    <w:p w14:paraId="5A5F2A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FA9D3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moratória de 0,5% (cinco décimos por cento) por dia de atraso injustificado sobre o valor da parcela inadimplida, até o limite de 10 (dez) dias, conforme dispõe art. 206 do Decreto Municipal 11.685 de 18 de setembro de 2023.</w:t>
      </w:r>
    </w:p>
    <w:p w14:paraId="330621F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7BFA1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O atraso superior a 90 (noventa) dias autoriza a Administração a promover a extinção do contrato por descumprimento ou cumprimento irregular de suas cláusulas, conforme dispõe o inciso I do art. 137 da Lei nº 14.133, de 1º de abril de 2021.</w:t>
      </w:r>
    </w:p>
    <w:p w14:paraId="3BDBE47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EBF6F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compensatória de 5% (cinco por cento) sobre o valor total do contrato, no caso de inexecução total do objeto.</w:t>
      </w:r>
    </w:p>
    <w:p w14:paraId="1D4C870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2AD215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17.4. A aplicação das sanções previstas no Edital não exclui, em hipótese alguma, a obrigação de reparação integral do dano causado à Administração Pública (art. 156, §9º, da Lei nº 14.133, de 1º de abril de 2021).</w:t>
      </w:r>
    </w:p>
    <w:p w14:paraId="38BD0A7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F6AE4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17.5. Todas as sanções previstas no Edital poderão ser aplicadas cumulativamente com a multa (art. 156, §7º, da Lei nº 14.133, de 1º de abril de 2021).</w:t>
      </w:r>
    </w:p>
    <w:p w14:paraId="241FE7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EC496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17.6. Antes da aplicação da multa será facultada a defesa do interessado no prazo de 15 (quinze) dias úteis, contados da data de sua intimação (art. 157, da Lei nº 14.133, de 1º de abril de 2021).</w:t>
      </w:r>
    </w:p>
    <w:p w14:paraId="43FDAC9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359C57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17.7. Se a multa aplicada e as indenizações cabíveis forem superiores ao valor do pagamento eventualmente devido pela Administração Pública à Contratada, além da perda desse valor, a diferença será descontada da garantia prestada ou será cobrada judicialmente (art. 156, §8º, da Lei nº 14.133, de 1º de abril de 2021).</w:t>
      </w:r>
    </w:p>
    <w:p w14:paraId="49C826E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7F288A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17.8. A aplicação das sanções realizar-se-á em processo administrativo que assegure o contraditório e a ampla defesa à Contratada, observando-se o procedimento previsto no caput e parágrafos do art. 158 da Lei nº 14.133, de 1º de abril de 2021 e art. 207 do Decreto Municipal 11.685 de 18 de setembro de 2023, para as penalidades de impedimento de licitar e contratar e de declaração de inidoneidade para licitar ou contatar.</w:t>
      </w:r>
    </w:p>
    <w:p w14:paraId="132980A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3BD087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17.9. Na aplicação das sanções serão considerados o art. 156, §1º, da Lei nº 14.133, de 1º de abril de 2021 e art. 208 do Decreto Municipal 11.685 de 18 de setembro de 2023.</w:t>
      </w:r>
    </w:p>
    <w:p w14:paraId="15A7FB1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BB892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17.10. As sanções de impedimento de licitar e contratar e declaração de inidoneidade para licitar ou contratar são passíveis de reabilitação na forma do art. 163 da Lei nº 14.133, de 1º de abril de 2021.</w:t>
      </w:r>
    </w:p>
    <w:p w14:paraId="2843E8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FD533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17.11. Os débitos da Contratada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a Contratada possua com o mesmo órgão ora contratante, na forma da Instrução Normativa SEGES/ME nº 26, de 13 de abril de 2022, e demais normas correlatas aplicáveis.</w:t>
      </w:r>
    </w:p>
    <w:p w14:paraId="05EB8F7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C2CF85A">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18. DA DOTAÇÃO ORÇAMENTÁRIA</w:t>
      </w:r>
    </w:p>
    <w:p w14:paraId="210CA102">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21093EA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18.1. </w:t>
      </w:r>
      <w:r>
        <w:rPr>
          <w:rFonts w:ascii="Book Antiqua" w:hAnsi="Book Antiqua" w:cs="Book Antiqua"/>
          <w:b w:val="0"/>
          <w:i w:val="0"/>
          <w:caps w:val="0"/>
          <w:smallCaps w:val="0"/>
          <w:strike w:val="0"/>
          <w:color w:val="000000"/>
          <w:spacing w:val="0"/>
          <w:sz w:val="20"/>
          <w:szCs w:val="20"/>
          <w:u w:val="none"/>
          <w:lang w:val="pt-BR" w:bidi="ar-SA"/>
        </w:rPr>
        <w:t>As despesas de contratação das obras e serviços, objeto(s) desta licitação, correrão por conta das seguintes dotações orçamentárias indicadas pela Secretaria Municipal de Fazenda:</w:t>
      </w:r>
    </w:p>
    <w:p w14:paraId="4AE4543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tbl>
      <w:tblPr>
        <w:tblStyle w:val="3"/>
        <w:tblW w:w="8929" w:type="dxa"/>
        <w:tblInd w:w="0" w:type="dxa"/>
        <w:tblLayout w:type="fixed"/>
        <w:tblCellMar>
          <w:top w:w="0" w:type="dxa"/>
          <w:left w:w="108" w:type="dxa"/>
          <w:bottom w:w="0" w:type="dxa"/>
          <w:right w:w="108" w:type="dxa"/>
        </w:tblCellMar>
      </w:tblPr>
      <w:tblGrid>
        <w:gridCol w:w="3236"/>
        <w:gridCol w:w="5693"/>
      </w:tblGrid>
      <w:tr w14:paraId="4258404D">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0903D21">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ÓRGÃO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BDAC7FB">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02 – PREFEITURA MUNICIPAL DE RONDONÓPOLIS</w:t>
            </w:r>
          </w:p>
        </w:tc>
      </w:tr>
      <w:tr w14:paraId="5408E49A">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313B67C3">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UNIDADE</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CC4EF5B">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017 – SECRETARIA MUNICIPAL DE INFRAESTRUTURA</w:t>
            </w:r>
          </w:p>
        </w:tc>
      </w:tr>
      <w:tr w14:paraId="4EB2414C">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73CA7FF2">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FUNÇÃO PROGRAMÁTICA</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9609282">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15.451.2103.1941 – PAVIMENTAÇÃO E DRENAGEM DAS VIAS URBANAS</w:t>
            </w:r>
          </w:p>
        </w:tc>
      </w:tr>
      <w:tr w14:paraId="0D47C604">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24D6630">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ELEMENTO DE DESPESA</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F955C26">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4.4.90.51 – OBRAS E INSTALAÇÕES</w:t>
            </w:r>
          </w:p>
        </w:tc>
      </w:tr>
      <w:tr w14:paraId="19330012">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2723C63">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B7FAFCC">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1.754.0000000</w:t>
            </w:r>
          </w:p>
        </w:tc>
      </w:tr>
      <w:tr w14:paraId="0105E144">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ECC44C9">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2026</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75F8128">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R$ 9.114.756,84</w:t>
            </w:r>
          </w:p>
        </w:tc>
      </w:tr>
      <w:tr w14:paraId="676333F3">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E88668F">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REDUZIDO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34F1C906">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817</w:t>
            </w:r>
          </w:p>
        </w:tc>
      </w:tr>
      <w:tr w14:paraId="259FC003">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1D36035">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043F370">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1.701.0000000</w:t>
            </w:r>
          </w:p>
        </w:tc>
      </w:tr>
      <w:tr w14:paraId="6946C239">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086F2B7">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2026</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0CD2CC1B">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R$ 6.000.000,00</w:t>
            </w:r>
          </w:p>
        </w:tc>
      </w:tr>
      <w:tr w14:paraId="12BE2925">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2752D9B">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REDUZIDO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ACE78C4">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815</w:t>
            </w:r>
          </w:p>
        </w:tc>
      </w:tr>
      <w:tr w14:paraId="3533774F">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041DFC09">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0095553">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1.701.0000000</w:t>
            </w:r>
          </w:p>
        </w:tc>
      </w:tr>
      <w:tr w14:paraId="27ECCD1D">
        <w:tblPrEx>
          <w:tblCellMar>
            <w:top w:w="0" w:type="dxa"/>
            <w:left w:w="108" w:type="dxa"/>
            <w:bottom w:w="0" w:type="dxa"/>
            <w:right w:w="108" w:type="dxa"/>
          </w:tblCellMar>
        </w:tblPrEx>
        <w:trPr>
          <w:trHeight w:val="446" w:hRule="atLeast"/>
        </w:trPr>
        <w:tc>
          <w:tcPr>
            <w:tcW w:w="323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3B496DC">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2027</w:t>
            </w:r>
          </w:p>
        </w:tc>
        <w:tc>
          <w:tcPr>
            <w:tcW w:w="5693"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6DCAAFE">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R$ 3.114.756,84</w:t>
            </w:r>
          </w:p>
        </w:tc>
      </w:tr>
    </w:tbl>
    <w:p w14:paraId="4658EEE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8AD41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18.2. A dotação relativa aos exercícios financeiros subsequentes será indicada após aprovação da Lei Orçamentária respectiva e liberação dos créditos correspondentes, mediante apostilamento.</w:t>
      </w:r>
    </w:p>
    <w:p w14:paraId="666EF8C1">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3F0DC434">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18.3 DA HOMOLOGAÇÃO/ADJUDICAÇÃO</w:t>
      </w:r>
    </w:p>
    <w:p w14:paraId="7DE73389">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644DAC4E">
      <w:pPr>
        <w:pStyle w:val="187"/>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18.4. Após a divulgação do resultado de julgamento da habilitação e decorrido o prazo recursal previsto em lei, a presente licitação será adjudicada à empresa vencedora do certame, após homologação pela autoridade competente.</w:t>
      </w:r>
    </w:p>
    <w:p w14:paraId="2AF4A293">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57188481">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19. DA EXECUÇÃO DOS SERVIÇOS</w:t>
      </w:r>
    </w:p>
    <w:p w14:paraId="1B4BCA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6310F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19.1 Os serviços, objeto do presente Edital, deverão ser executados de acordo com as especificações e condições estabelecidas no Estudo Técnico Preliminar – ETP e Projeto Básico citado no item 1.1 deste edital.</w:t>
      </w:r>
    </w:p>
    <w:p w14:paraId="2333A1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128ED7">
      <w:pPr>
        <w:pStyle w:val="187"/>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20. DOS REAJUSTES E SUPRESSÕES</w:t>
      </w:r>
    </w:p>
    <w:p w14:paraId="38B251E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1AAD0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 xml:space="preserve">Nos termos do art. 125, da Lei n° 14.133, de 2021, a Contratada ficará obrigada a aceitar, nas mesmas condições contratuais, os </w:t>
      </w:r>
      <w:r>
        <w:rPr>
          <w:rFonts w:ascii="Times New Roman" w:hAnsi="Times New Roman" w:cs="Times New Roman"/>
          <w:b w:val="0"/>
          <w:i w:val="0"/>
          <w:caps w:val="0"/>
          <w:smallCaps w:val="0"/>
          <w:strike w:val="0"/>
          <w:color w:val="000000"/>
          <w:spacing w:val="0"/>
          <w:sz w:val="20"/>
          <w:szCs w:val="20"/>
          <w:u w:val="none"/>
          <w:lang w:val="pt-BR" w:bidi="ar-SA"/>
        </w:rPr>
        <w:t xml:space="preserve">acréscimos ou supressões </w:t>
      </w:r>
      <w:r>
        <w:rPr>
          <w:rFonts w:ascii="Book Antiqua" w:hAnsi="Book Antiqua" w:cs="Book Antiqua"/>
          <w:b w:val="0"/>
          <w:i w:val="0"/>
          <w:caps w:val="0"/>
          <w:smallCaps w:val="0"/>
          <w:strike w:val="0"/>
          <w:color w:val="000000"/>
          <w:spacing w:val="0"/>
          <w:sz w:val="18"/>
          <w:szCs w:val="18"/>
          <w:u w:val="none"/>
          <w:lang w:val="pt-BR" w:bidi="ar-SA"/>
        </w:rPr>
        <w:t>que se fizerem necessários, até o limite legal do valor inicial atualizado do contrato.</w:t>
      </w:r>
    </w:p>
    <w:p w14:paraId="4C42F27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133205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20.1.1.</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No presente caso, obra de engenharia, o limite fixado para os acréscimos é de até 25% (vinte e cinco por cento) do valor inicial atualizado do contrato.</w:t>
      </w:r>
    </w:p>
    <w:p w14:paraId="35CFF4E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5E2C5D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20.1.2.</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As supressões ou acréscimos resultantes de acordo celebrado entre os contratantes não poderão transfigurar o objeto da contratação.</w:t>
      </w:r>
    </w:p>
    <w:p w14:paraId="56BAAF2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FFA767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20.1.3.</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O conjunto de acréscimos e o conjunto de supressões serão calculados sobre o valor original do contrato, aplicando-se a cada um desses conjuntos, individualmente e sem nenhum tipo de compensação entre eles, os limites de alteração acima estabelecidos.</w:t>
      </w:r>
    </w:p>
    <w:p w14:paraId="48A785A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EC84A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20.2.</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 xml:space="preserve">As alterações contratuais decorrentes de alegação de falhas ou omissões em qualquer das peças, orçamentos, plantas, especificações, memoriais e estudos técnicos preliminares do projeto não poderão ultrapassar, no seu conjunto, </w:t>
      </w:r>
      <w:r>
        <w:rPr>
          <w:rFonts w:ascii="Book Antiqua" w:hAnsi="Book Antiqua" w:cs="Book Antiqua"/>
          <w:b w:val="0"/>
          <w:i w:val="0"/>
          <w:caps w:val="0"/>
          <w:smallCaps w:val="0"/>
          <w:strike w:val="0"/>
          <w:color w:val="000000"/>
          <w:spacing w:val="0"/>
          <w:sz w:val="18"/>
          <w:szCs w:val="18"/>
          <w:u w:val="single"/>
          <w:shd w:val="clear" w:color="auto" w:fill="FFFFFF"/>
          <w:lang w:val="pt-BR" w:bidi="ar-SA"/>
        </w:rPr>
        <w:t xml:space="preserve">10% (dez por cento) </w:t>
      </w:r>
      <w:r>
        <w:rPr>
          <w:rFonts w:ascii="Book Antiqua" w:hAnsi="Book Antiqua" w:cs="Book Antiqua"/>
          <w:b w:val="0"/>
          <w:i w:val="0"/>
          <w:caps w:val="0"/>
          <w:smallCaps w:val="0"/>
          <w:strike w:val="0"/>
          <w:color w:val="000000"/>
          <w:spacing w:val="0"/>
          <w:sz w:val="18"/>
          <w:szCs w:val="18"/>
          <w:u w:val="none"/>
          <w:lang w:val="pt-BR" w:bidi="ar-SA"/>
        </w:rPr>
        <w:t>do valor total do contrato, computando-se esse percentual para verificação dos limites do art. 124, da Lei n° 14.133 de 2021.</w:t>
      </w:r>
    </w:p>
    <w:p w14:paraId="685B4F4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0FFE1C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20.3.</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A formação do preço dos aditivos contratuais contará com orçamento específico detalhado em planilhas elaboradas pelo órgão, não podendo ser reduzida a diferença percentual entre o valor global estimado na fase preparatória da licitação e o valor global contratado, mantidos os limites do art. 125, da Lei n° 14.133, de 2021.</w:t>
      </w:r>
    </w:p>
    <w:p w14:paraId="7F9EABA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2B4FD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20.3.1.</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Somente em condições especiais, devidamente justificadas em relatório técnico circunstanciado, elaborado por profissional habilitado e aprovado pelo órgão gestor dos recursos ou seu mandatário, poderão os custos das etapas do cronograma físico-financeiro exceder o limite de proporcionalidade acima fixado, sem prejuízo da avaliação dos órgãos de controle interno e externo.</w:t>
      </w:r>
    </w:p>
    <w:p w14:paraId="07845E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FC310C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20.4. Os preços contratuais, em Reais, poderão ser reajustados pelos Índices utilizados pelo DNIT, para o Setor Rodoviário, apurados e fornecidos pela Fundação Getúlio Vargas, ou outra que vier a substituí-la, após decorrido 01 (um) ano </w:t>
      </w:r>
      <w:r>
        <w:rPr>
          <w:rFonts w:ascii="Book Antiqua" w:hAnsi="Book Antiqua" w:cs="Book Antiqua"/>
          <w:b/>
          <w:i w:val="0"/>
          <w:caps w:val="0"/>
          <w:smallCaps w:val="0"/>
          <w:strike w:val="0"/>
          <w:color w:val="000000"/>
          <w:spacing w:val="0"/>
          <w:sz w:val="18"/>
          <w:szCs w:val="18"/>
          <w:u w:val="none"/>
          <w:lang w:val="pt-BR" w:bidi="ar-SA"/>
        </w:rPr>
        <w:t>da data-base do orçamento preestabelecido no Edital</w:t>
      </w:r>
      <w:r>
        <w:rPr>
          <w:rFonts w:ascii="Book Antiqua" w:hAnsi="Book Antiqua" w:cs="Book Antiqua"/>
          <w:b w:val="0"/>
          <w:i w:val="0"/>
          <w:caps w:val="0"/>
          <w:smallCaps w:val="0"/>
          <w:strike w:val="0"/>
          <w:color w:val="000000"/>
          <w:spacing w:val="0"/>
          <w:sz w:val="18"/>
          <w:szCs w:val="18"/>
          <w:u w:val="none"/>
          <w:lang w:val="pt-BR" w:bidi="ar-SA"/>
        </w:rPr>
        <w:t xml:space="preserve">, nos termos do art. 3º, §1º, da </w:t>
      </w:r>
      <w:r>
        <w:fldChar w:fldCharType="begin"/>
      </w:r>
      <w:r>
        <w:instrText xml:space="preserve"> HYPERLINK \l "ttps://www.planalto.gov.br/ccivil_03/leis/leis_2001/l10192.htm" \o "#ttps://www.planalto.gov.br/ccivil_03/leis/leis_2001/l10192.htm"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10.192 de 2001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sendo o índice inicial referente ao mês do Orçamento Referencial.</w:t>
      </w:r>
    </w:p>
    <w:p w14:paraId="1CC8BF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0BE26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20.5. Para apuração do índice correto, verificar a lista de disciplinas que compõe a </w:t>
      </w:r>
      <w:r>
        <w:fldChar w:fldCharType="begin"/>
      </w:r>
      <w:r>
        <w:instrText xml:space="preserve"> HYPERLINK \l "ttps://www.gov.br/dnit/pt-br/central-de-conteudos/atos-normativos/tipo/instrucao-normativa/2023/instrucao-normativa-no-1-2023" \o "#ttps://www.gov.br/dnit/pt-br/central-de-conteudos/atos-normativos/tipo/instrucao-normativa/2023/instrucao-normativa-no-1-2023"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Instrução Normativa Nº 1/DNIT Sede, de 24 de janeiro de 2023</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2CCB92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7EFC0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20.6. Dentro do prazo de vigência do contrato e mediante solicitação da contratada, os preços contratados poderão sofrer reajuste após o interregno de um ano, aplicando-se o índice de reajustamento do DNIT/FGV exclusivamente para as obrigações iniciadas e concluídas após a ocorrência da anualidade.</w:t>
      </w:r>
    </w:p>
    <w:p w14:paraId="18A99A2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A5DA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20.7. Nos reajustes subsequentes ao primeiro, o interregno mínimo de um ano será contado a partir dos efeitos financeiros do último reajuste.</w:t>
      </w:r>
    </w:p>
    <w:p w14:paraId="361463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A014A7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20.8. No caso de atraso ou não divulgação do índice de reajustamento, a Contratante pagará à Contratada a importância calculada pela última variação conhecida, liquidando a diferença correspondente tão logo seja divulgado o índice definitivo.</w:t>
      </w:r>
    </w:p>
    <w:p w14:paraId="695AC0B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C8A20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20.9. Nas aferições finais, o índice utilizado para reajuste será, obrigatoriamente, o definitivo.</w:t>
      </w:r>
    </w:p>
    <w:p w14:paraId="3FF6ED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10E3FE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20.10. Caso o índice estabelecido para reajustamento venha a ser extinto ou de qualquer forma não possa mais ser utilizado, será adotado, em substituição, o que vier a ser determinado pela legislação então em vigor.</w:t>
      </w:r>
    </w:p>
    <w:p w14:paraId="239AE0E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3654E2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20.11. Na ausência de previsão legal quanto ao índice substituto, as partes elegerão novo índice oficial, para reajustamento do preço do valor remanescente, por meio de termo aditivo.</w:t>
      </w:r>
    </w:p>
    <w:p w14:paraId="0BB3B24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15531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20.12. O reajuste será realizado por apostilamento.</w:t>
      </w:r>
    </w:p>
    <w:p w14:paraId="4D28EA4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42EDE4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20.13. Não se admitirá como encargo financeiro juros, despesas bancárias e ônus semelhantes.</w:t>
      </w:r>
    </w:p>
    <w:p w14:paraId="6E17B1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64B4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20.14. O valor da parcela de reajustamento deverá ser calculado conforme regra definida a seguir.</w:t>
      </w:r>
    </w:p>
    <w:p w14:paraId="5727FAA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64D6288">
      <w:pPr>
        <w:pStyle w:val="155"/>
        <w:spacing w:line="276" w:lineRule="auto"/>
        <w:ind w:left="567" w:right="0" w:hanging="567"/>
        <w:jc w:val="both"/>
        <w:rPr>
          <w:rFonts w:ascii="Liberation Serif" w:hAnsi="Liberation Serif" w:cs="Liberation Serif"/>
          <w:b w:val="0"/>
          <w:i w:val="0"/>
          <w:caps w:val="0"/>
          <w:smallCaps w:val="0"/>
          <w:strike w:val="0"/>
          <w:color w:val="000000"/>
          <w:spacing w:val="0"/>
          <w:sz w:val="24"/>
          <w:szCs w:val="24"/>
          <w:u w:val="none"/>
          <w:lang w:val="pt-BR" w:bidi="hi-IN"/>
        </w:rPr>
      </w:pPr>
      <m:oMathPara>
        <m:oMathParaPr>
          <m:jc m:val="left"/>
        </m:oMathParaPr>
        <m:oMath>
          <m:r>
            <m:rPr/>
            <w:rPr>
              <w:rFonts w:ascii="Cambria Math" w:hAnsi="Cambria Math"/>
              <w:sz w:val="24"/>
              <w:szCs w:val="24"/>
            </w:rPr>
            <m:t>R=</m:t>
          </m:r>
          <m:f>
            <m:fPr>
              <m:ctrlPr>
                <w:rPr>
                  <w:rFonts w:ascii="Cambria Math" w:hAnsi="Cambria Math"/>
                  <w:sz w:val="24"/>
                  <w:szCs w:val="24"/>
                </w:rPr>
              </m:ctrlPr>
            </m:fPr>
            <m:num>
              <m:d>
                <m:dPr>
                  <m:ctrlPr>
                    <w:rPr>
                      <w:rFonts w:ascii="Cambria Math" w:hAnsi="Cambria Math"/>
                      <w:i/>
                      <w:sz w:val="24"/>
                      <w:szCs w:val="24"/>
                    </w:rPr>
                  </m:ctrlPr>
                </m:dPr>
                <m:e>
                  <m:sSub>
                    <m:sSubPr>
                      <m:ctrlPr>
                        <w:rPr>
                          <w:rFonts w:ascii="Cambria Math" w:hAnsi="Cambria Math"/>
                          <w:i/>
                          <w:sz w:val="24"/>
                          <w:szCs w:val="24"/>
                        </w:rPr>
                      </m:ctrlPr>
                    </m:sSubPr>
                    <m:e>
                      <m:r>
                        <m:rPr/>
                        <w:rPr>
                          <w:rFonts w:ascii="Cambria Math" w:hAnsi="Cambria Math"/>
                          <w:sz w:val="24"/>
                          <w:szCs w:val="24"/>
                        </w:rPr>
                        <m:t>I</m:t>
                      </m:r>
                      <m:ctrlPr>
                        <w:rPr>
                          <w:rFonts w:ascii="Cambria Math" w:hAnsi="Cambria Math"/>
                          <w:i/>
                          <w:sz w:val="24"/>
                          <w:szCs w:val="24"/>
                        </w:rPr>
                      </m:ctrlPr>
                    </m:e>
                    <m:sub>
                      <m:r>
                        <m:rPr/>
                        <w:rPr>
                          <w:rFonts w:ascii="Cambria Math" w:hAnsi="Cambria Math"/>
                          <w:sz w:val="24"/>
                          <w:szCs w:val="24"/>
                        </w:rPr>
                        <m:t>i</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I</m:t>
                      </m:r>
                      <m:ctrlPr>
                        <w:rPr>
                          <w:rFonts w:ascii="Cambria Math" w:hAnsi="Cambria Math"/>
                          <w:i/>
                          <w:sz w:val="24"/>
                          <w:szCs w:val="24"/>
                        </w:rPr>
                      </m:ctrlPr>
                    </m:e>
                    <m:sub>
                      <m:r>
                        <m:rPr/>
                        <w:rPr>
                          <w:rFonts w:ascii="Cambria Math" w:hAnsi="Cambria Math"/>
                          <w:sz w:val="24"/>
                          <w:szCs w:val="24"/>
                        </w:rPr>
                        <m:t>0</m:t>
                      </m:r>
                      <m:ctrlPr>
                        <w:rPr>
                          <w:rFonts w:ascii="Cambria Math" w:hAnsi="Cambria Math"/>
                          <w:i/>
                          <w:sz w:val="24"/>
                          <w:szCs w:val="24"/>
                        </w:rPr>
                      </m:ctrlPr>
                    </m:sub>
                  </m:sSub>
                  <m:ctrlPr>
                    <w:rPr>
                      <w:rFonts w:ascii="Cambria Math" w:hAnsi="Cambria Math"/>
                      <w:i/>
                      <w:sz w:val="24"/>
                      <w:szCs w:val="24"/>
                    </w:rPr>
                  </m:ctrlPr>
                </m:e>
              </m:d>
              <m:r>
                <m:rPr/>
                <w:rPr>
                  <w:rFonts w:ascii="Cambria Math" w:hAnsi="Cambria Math"/>
                  <w:sz w:val="24"/>
                  <w:szCs w:val="24"/>
                </w:rPr>
                <m:t>×V</m:t>
              </m:r>
              <m:ctrlPr>
                <w:rPr>
                  <w:rFonts w:ascii="Cambria Math" w:hAnsi="Cambria Math"/>
                  <w:sz w:val="24"/>
                  <w:szCs w:val="24"/>
                </w:rPr>
              </m:ctrlPr>
            </m:num>
            <m:den>
              <m:sSub>
                <m:sSubPr>
                  <m:ctrlPr>
                    <w:rPr>
                      <w:rFonts w:ascii="Cambria Math" w:hAnsi="Cambria Math"/>
                      <w:sz w:val="24"/>
                      <w:szCs w:val="24"/>
                    </w:rPr>
                  </m:ctrlPr>
                </m:sSubPr>
                <m:e>
                  <m:r>
                    <m:rPr/>
                    <w:rPr>
                      <w:rFonts w:ascii="Cambria Math" w:hAnsi="Cambria Math"/>
                      <w:sz w:val="24"/>
                      <w:szCs w:val="24"/>
                    </w:rPr>
                    <m:t>I</m:t>
                  </m:r>
                  <m:ctrlPr>
                    <w:rPr>
                      <w:rFonts w:ascii="Cambria Math" w:hAnsi="Cambria Math"/>
                      <w:sz w:val="24"/>
                      <w:szCs w:val="24"/>
                    </w:rPr>
                  </m:ctrlPr>
                </m:e>
                <m:sub>
                  <m:r>
                    <m:rPr/>
                    <w:rPr>
                      <w:rFonts w:ascii="Cambria Math" w:hAnsi="Cambria Math"/>
                      <w:sz w:val="24"/>
                      <w:szCs w:val="24"/>
                    </w:rPr>
                    <m:t>O</m:t>
                  </m:r>
                  <m:ctrlPr>
                    <w:rPr>
                      <w:rFonts w:ascii="Cambria Math" w:hAnsi="Cambria Math"/>
                      <w:sz w:val="24"/>
                      <w:szCs w:val="24"/>
                    </w:rPr>
                  </m:ctrlPr>
                </m:sub>
              </m:sSub>
              <m:ctrlPr>
                <w:rPr>
                  <w:rFonts w:ascii="Cambria Math" w:hAnsi="Cambria Math"/>
                  <w:sz w:val="24"/>
                  <w:szCs w:val="24"/>
                </w:rPr>
              </m:ctrlPr>
            </m:den>
          </m:f>
        </m:oMath>
      </m:oMathPara>
    </w:p>
    <w:p w14:paraId="1160C6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Onde,</w:t>
      </w:r>
    </w:p>
    <w:p w14:paraId="6695797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R = Valor da parcela de reajustamento a ser calculada;</w:t>
      </w:r>
    </w:p>
    <w:p w14:paraId="3454C26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w:t>
      </w:r>
      <w:r>
        <w:rPr>
          <w:rFonts w:ascii="Book Antiqua" w:hAnsi="Book Antiqua" w:cs="Book Antiqua"/>
          <w:b w:val="0"/>
          <w:i w:val="0"/>
          <w:caps w:val="0"/>
          <w:smallCaps w:val="0"/>
          <w:strike w:val="0"/>
          <w:color w:val="000000"/>
          <w:spacing w:val="0"/>
          <w:sz w:val="18"/>
          <w:szCs w:val="18"/>
          <w:u w:val="none"/>
          <w:vertAlign w:val="subscript"/>
          <w:lang w:val="pt-BR" w:bidi="ar-SA"/>
        </w:rPr>
        <w:t>0</w:t>
      </w:r>
      <w:r>
        <w:rPr>
          <w:rFonts w:ascii="Book Antiqua" w:hAnsi="Book Antiqua" w:cs="Book Antiqua"/>
          <w:b w:val="0"/>
          <w:i w:val="0"/>
          <w:caps w:val="0"/>
          <w:smallCaps w:val="0"/>
          <w:strike w:val="0"/>
          <w:color w:val="000000"/>
          <w:spacing w:val="0"/>
          <w:sz w:val="18"/>
          <w:szCs w:val="18"/>
          <w:u w:val="none"/>
          <w:lang w:val="pt-BR" w:bidi="ar-SA"/>
        </w:rPr>
        <w:t xml:space="preserve"> = Índice de preço verificado no mês base do orçamento;</w:t>
      </w:r>
    </w:p>
    <w:p w14:paraId="50C2198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w:t>
      </w:r>
      <w:r>
        <w:rPr>
          <w:rFonts w:ascii="Book Antiqua" w:hAnsi="Book Antiqua" w:cs="Book Antiqua"/>
          <w:b w:val="0"/>
          <w:i w:val="0"/>
          <w:caps w:val="0"/>
          <w:smallCaps w:val="0"/>
          <w:strike w:val="0"/>
          <w:color w:val="000000"/>
          <w:spacing w:val="0"/>
          <w:sz w:val="18"/>
          <w:szCs w:val="18"/>
          <w:u w:val="none"/>
          <w:vertAlign w:val="subscript"/>
          <w:lang w:val="pt-BR" w:bidi="ar-SA"/>
        </w:rPr>
        <w:t>i</w:t>
      </w:r>
      <w:r>
        <w:rPr>
          <w:rFonts w:ascii="Book Antiqua" w:hAnsi="Book Antiqua" w:cs="Book Antiqua"/>
          <w:b w:val="0"/>
          <w:i w:val="0"/>
          <w:caps w:val="0"/>
          <w:smallCaps w:val="0"/>
          <w:strike w:val="0"/>
          <w:color w:val="000000"/>
          <w:spacing w:val="0"/>
          <w:sz w:val="18"/>
          <w:szCs w:val="18"/>
          <w:u w:val="none"/>
          <w:lang w:val="pt-BR" w:bidi="ar-SA"/>
        </w:rPr>
        <w:t xml:space="preserve"> = Índice de preço referente ao mês de reajustamento;</w:t>
      </w:r>
    </w:p>
    <w:p w14:paraId="785D514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V = Valor, a preços iniciais, da parcela do contrato ou serviço a ser reajustado.</w:t>
      </w:r>
    </w:p>
    <w:p w14:paraId="5BDB397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057143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20.15. Excluem-se da revisão de preços as parcelas correspondentes à indenização de materiais fornecidos pelo contratado, cujos custos tenham sido medidos e pagos pelos valores consignados no documento oficial relativo à compra</w:t>
      </w:r>
    </w:p>
    <w:p w14:paraId="097370A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2DDF78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20.16. O índice de reajustamento composto a ser aplicado para misturas asfálticas adquiridas comercialmente deverá ser elaborado conforme art. 20 da </w:t>
      </w:r>
      <w:r>
        <w:fldChar w:fldCharType="begin"/>
      </w:r>
      <w:r>
        <w:instrText xml:space="preserve"> HYPERLINK \l "ttps://www.gov.br/dnit/pt-br/central-de-conteudos/atos-normativos/tipo/instrucao-normativa/2023/instrucao-normativa-no-1-2023" \o "#ttps://www.gov.br/dnit/pt-br/central-de-conteudos/atos-normativos/tipo/instrucao-normativa/2023/instrucao-normativa-no-1-2023"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Instrução Normativa Nº 1/DNIT Sede, de 24 de janeiro de 2023</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6DC6C3E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649BFD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20.17. A iniciativa e o encargo para o cálculo do reajustamento deverão ocorrer por conta da contratada, cabendo ao órgão ou entidade contratante a verificação do resultado obtido, e se houver concordância, aplicar o reajustamento dos preços com fundamentos nesses cálculos. Se equivocados, deverá ter o respectivo protocolo devolvido paras as devidas correções apontadas pela Administração.</w:t>
      </w:r>
    </w:p>
    <w:p w14:paraId="4C58182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A7001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20.18. Para itens de contratos que necessitam ser reajustados por mais de um índice, as parcelas que compõe esses itens deverão ser desmembrados, passando cada parcela a ser corrigida pelo seu respectivo índice.</w:t>
      </w:r>
    </w:p>
    <w:p w14:paraId="093F13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BC37BE">
      <w:pPr>
        <w:pStyle w:val="202"/>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20.19. Demais informações constantes no Estudo Técnico Preliminar – ETP e Projeto Básico, anexo a este edital.</w:t>
      </w:r>
    </w:p>
    <w:p w14:paraId="320B3DDD">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3ABF12FF">
      <w:pPr>
        <w:pStyle w:val="187"/>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21. DA GARANTIA CONTRATUAL</w:t>
      </w:r>
    </w:p>
    <w:p w14:paraId="685A1978">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712CB5E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21.1. Para garantir o fiel cumprimento de todas as obrigações contratuais, a CONTRATADA deverá apresentar, no prazo de contados da assinatura do contrato, comprovante de prestação de garantia no valor de 5% (cinco por cento) do valor total do contrato, em conformidade com o art. 96 dá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012AF134">
      <w:pPr>
        <w:pStyle w:val="155"/>
        <w:spacing w:line="276" w:lineRule="auto"/>
        <w:jc w:val="both"/>
        <w:rPr>
          <w:rFonts w:ascii="Liberation Serif" w:hAnsi="Liberation Serif" w:cs="Liberation Serif"/>
          <w:b w:val="0"/>
          <w:i w:val="0"/>
          <w:caps w:val="0"/>
          <w:smallCaps w:val="0"/>
          <w:strike w:val="0"/>
          <w:color w:val="000000"/>
          <w:spacing w:val="0"/>
          <w:sz w:val="24"/>
          <w:szCs w:val="24"/>
          <w:u w:val="none"/>
          <w:lang w:val="pt-BR" w:bidi="hi-IN"/>
        </w:rPr>
      </w:pPr>
    </w:p>
    <w:p w14:paraId="3FF80C24">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21.2. A garantia poderá ser prestada em uma das seguintes modalidades, à escolha da CONTRATADA: </w:t>
      </w:r>
    </w:p>
    <w:p w14:paraId="46B0B96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2A9B644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 seguro-garantia;</w:t>
      </w:r>
    </w:p>
    <w:p w14:paraId="67DD5B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 fiança bancária emitida por banco ou instituição financeira devidamente autorizada a operar no País pelo Banco Central do Brasil.</w:t>
      </w:r>
    </w:p>
    <w:p w14:paraId="0EFE1F7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IV - título de capitalização custeado por pagamento único, com resgate pelo valor total. </w:t>
      </w:r>
      <w:r>
        <w:fldChar w:fldCharType="begin"/>
      </w:r>
      <w:r>
        <w:instrText xml:space="preserve"> HYPERLINK "https://www.planalto.gov.br/ccivil_03/_Ato2023-2026/2023/Lei/L14770.htm#art1" \o "https://www.planalto.gov.br/ccivil_03/_Ato2023-2026/2023/Lei/L14770.htm#art1"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(Incluído pela Lei nº 14.770, de 2023)</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p>
    <w:p w14:paraId="07FF85D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1662938">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21.3. A garantia, nas modalidades Caução e Fiança Bancária, deverá ser prestada em até 10 (dez) dias úteis após a assinatura do contrato.</w:t>
      </w:r>
    </w:p>
    <w:p w14:paraId="064FE82F">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21.4. No caso de opção pela modalidade "I - Caução em dinheiro", o interessado deverá procurar a Administração Pública Municipal, em Rondonópolis/MT, para obter instruções de como efetuá-la.</w:t>
      </w:r>
    </w:p>
    <w:p w14:paraId="36C46001">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21.5. No caso de caução com "I - [...] Títulos da Dívida Pública", estes deverão estar acompanhados de laudo de avaliação da Secretaria do Tesouro Nacional, no qual informe sobre a exequibilidade, valor e prazo de resgate, taxa de atualização, e condições de resgate.</w:t>
      </w:r>
    </w:p>
    <w:p w14:paraId="1EA213C7">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21.6. Para a prestação de garantia na modalidade "II - Seguro-Garantia", o prazo será de 1 (um) mês, contado da data de homologação da licitação e anterior à assinatura do contrato (art. 96, §3º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e dar-se-á mediante entrega da competente apólice emitida por entidade em funcionamento no País, e em nome do Município de Rondonópolis, cobrindo o risco de quebra do contrato, pelo prazo da duração do contrato,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216BA697">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21.7. Caso a garantia se dê por "III - Fiança Bancária",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4FF26F4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21.8. Caso a garantia se dê por "IV – Título de Capitalização",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12A0E89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21.9. A garantia prestada pela Contratada lhe será restituída ou liberada após o Recebimento Definitivo do(s) serviço(s) e, quando em dinheiro, com a devida atualização monetária.</w:t>
      </w:r>
    </w:p>
    <w:p w14:paraId="0C9A4099">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21.10. A contratada é responsável pelos danos causados diretamente à Administração ou a terceiros, na forma do art.120,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.O contratado é responsável pelos encargos trabalhistas, previdenciários, fiscais e comerciais de suas subcontratadas resultantes da execução do contrato, cabendo a ele a fiscalização do cumprimento de suas obrigações.</w:t>
      </w:r>
    </w:p>
    <w:p w14:paraId="753CF884">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21.11. Ocorrendo a rescisão com fundamento nos incisos I a IX do Art. 137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a Administração executará a garantia prestada pela Contratada.</w:t>
      </w:r>
    </w:p>
    <w:p w14:paraId="06401081">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21.12. A garantia prestada visa garantir o pleno cumprimento, pela Contratada, das obrigações estipuladas neste Contrato: ressarcir a Contratante de quaisquer prejuízos decorrentes de sua rescisão unilateral e injustificada; cobrir multas que vierem a ser aplicadas em decorrência de rescisão contratual ou aplicadas por descumprimento de quaisquer outras obrigações contratuais ou, ainda, cobrir perdas e danos causados à Contratante.</w:t>
      </w:r>
    </w:p>
    <w:p w14:paraId="7BE24590">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21.13. Não será aceita a prestação de garantia que não cubra todos os riscos ou prejuízos eventualmente decorrentes da execução do contrato, tais como a responsabilidade por multas e obrigações trabalhistas, previdenciárias ou sociais.</w:t>
      </w:r>
    </w:p>
    <w:p w14:paraId="44655076">
      <w:pPr>
        <w:pStyle w:val="187"/>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Book Antiqua" w:hAnsi="Book Antiqua" w:cs="Book Antiqua"/>
          <w:b/>
          <w:bCs w:val="0"/>
          <w:i w:val="0"/>
          <w:caps w:val="0"/>
          <w:smallCaps w:val="0"/>
          <w:strike w:val="0"/>
          <w:color w:val="000000"/>
          <w:spacing w:val="0"/>
          <w:sz w:val="18"/>
          <w:szCs w:val="18"/>
          <w:u w:val="none"/>
          <w:lang w:val="pt-BR" w:bidi="ar-SA"/>
          <w14:ligatures w14:val="none"/>
        </w:rPr>
      </w:pPr>
      <w:r>
        <w:rPr>
          <w:rFonts w:ascii="Book Antiqua" w:hAnsi="Book Antiqua" w:cs="Book Antiqua"/>
          <w:b/>
          <w:bCs/>
          <w:i w:val="0"/>
          <w:iCs w:val="0"/>
          <w:caps w:val="0"/>
          <w:smallCaps w:val="0"/>
          <w:strike w:val="0"/>
          <w:color w:val="000000"/>
          <w:spacing w:val="0"/>
          <w:sz w:val="18"/>
          <w:szCs w:val="18"/>
          <w:u w:val="none"/>
          <w:lang w:val="pt-BR" w:bidi="hi-IN"/>
        </w:rPr>
        <w:t>21.14 Garantia Adicional</w:t>
      </w:r>
    </w:p>
    <w:p w14:paraId="6C17CF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AE51BA2">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21.15 A Contratada deverá prestar garantia adicional nos termos do art. 59, § 5º, da Lei nº 14.133, de 2021, abaixo reproduzido:</w:t>
      </w:r>
    </w:p>
    <w:p w14:paraId="6C2388B8">
      <w:pPr>
        <w:pStyle w:val="143"/>
        <w:spacing w:after="240"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Lei Federal nº 14.133/2021; Lei de Licitações e Contratos Administrativos.</w:t>
      </w:r>
    </w:p>
    <w:p w14:paraId="3DE29BC1">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Art. 59º Para os fins desta Lei, consideram-se:</w:t>
      </w:r>
    </w:p>
    <w:p w14:paraId="0B643987">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w:t>
      </w:r>
    </w:p>
    <w:p w14:paraId="3CACD206">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 5º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14:paraId="4AF6A23F">
      <w:pPr>
        <w:pStyle w:val="143"/>
        <w:spacing w:before="240"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21.16. O valor da garantia adicional corresponderá à diferença entre o valor orçado pela Administração e o valor da proposta vencedora, calculado conforme a seguinte fórmula:</w:t>
      </w:r>
    </w:p>
    <w:p w14:paraId="5785883C">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Garantia Adicional = </w:t>
      </w:r>
      <w:r>
        <w:rPr>
          <w:rFonts w:hint="default" w:ascii="Book Antiqua" w:hAnsi="Book Antiqua" w:cs="Book Antiqua"/>
          <w:b w:val="0"/>
          <w:i w:val="0"/>
          <w:caps w:val="0"/>
          <w:smallCaps w:val="0"/>
          <w:strike w:val="0"/>
          <w:color w:val="000000"/>
          <w:spacing w:val="0"/>
          <w:sz w:val="18"/>
          <w:szCs w:val="18"/>
          <w:u w:val="none"/>
          <w:lang w:val="pt-BR" w:bidi="ar-SA"/>
        </w:rPr>
        <w:t xml:space="preserve"> 85% </w:t>
      </w:r>
      <w:r>
        <w:rPr>
          <w:rFonts w:ascii="Book Antiqua" w:hAnsi="Book Antiqua" w:cs="Book Antiqua"/>
          <w:b w:val="0"/>
          <w:i w:val="0"/>
          <w:caps w:val="0"/>
          <w:smallCaps w:val="0"/>
          <w:strike w:val="0"/>
          <w:color w:val="000000"/>
          <w:spacing w:val="0"/>
          <w:sz w:val="18"/>
          <w:szCs w:val="18"/>
          <w:u w:val="none"/>
          <w:lang w:val="pt-BR" w:bidi="ar-SA"/>
        </w:rPr>
        <w:t>Valor Orçado pela Administração - Valor da Proposta Vencedora</w:t>
      </w:r>
    </w:p>
    <w:p w14:paraId="1EA70D80">
      <w:pPr>
        <w:pStyle w:val="143"/>
        <w:spacing w:before="240"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21.17. Exemplo de cálculo: </w:t>
      </w:r>
    </w:p>
    <w:p w14:paraId="378896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Valor orçado pela Administração: R$ 1.000.000,00</w:t>
      </w:r>
      <w:r>
        <w:rPr>
          <w:rFonts w:ascii="Times New Roman" w:hAnsi="Times New Roman" w:cs="Times New Roman"/>
          <w:b w:val="0"/>
          <w:i w:val="0"/>
          <w:caps w:val="0"/>
          <w:smallCaps w:val="0"/>
          <w:strike w:val="0"/>
          <w:color w:val="000000"/>
          <w:spacing w:val="0"/>
          <w:sz w:val="20"/>
          <w:szCs w:val="20"/>
          <w:u w:val="none"/>
          <w:lang w:val="pt-BR" w:bidi="ar-SA"/>
        </w:rPr>
        <w:t xml:space="preserve"> </w:t>
      </w:r>
    </w:p>
    <w:p w14:paraId="45DF8B9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- 85% do valor orçado: R$ 850.000,00 </w:t>
      </w:r>
    </w:p>
    <w:p w14:paraId="57D72AD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Proposta vencedora: R$ 800.000,00 </w:t>
      </w:r>
    </w:p>
    <w:p w14:paraId="71D3EF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Garantia adicional devida: R$ 50.000,00</w:t>
      </w:r>
    </w:p>
    <w:p w14:paraId="6C3E144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4A3690">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21.18. A garantia adicional deverá ser apresentada no prazo de, 10 (dez) dias úteis contados da convocação para assinatura do contrato, podendo ser prestada em uma das modalidades previstas no art. 96 da </w:t>
      </w:r>
    </w:p>
    <w:p w14:paraId="09AAEF57">
      <w:pPr>
        <w:pStyle w:val="143"/>
        <w:spacing w:after="240"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w:t>
      </w:r>
    </w:p>
    <w:p w14:paraId="637E070A">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2FC34603">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 seguro-garantia;</w:t>
      </w:r>
    </w:p>
    <w:p w14:paraId="0B69C564">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 fiança bancária emitida por banco ou instituição financeira devidamente autorizada a operar no País pelo Banco Central do Brasil.</w:t>
      </w:r>
    </w:p>
    <w:p w14:paraId="00824374">
      <w:pPr>
        <w:pStyle w:val="143"/>
        <w:spacing w:line="276" w:lineRule="auto"/>
        <w:ind w:left="709" w:right="0" w:firstLine="0"/>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IV - título de capitalização custeado por pagamento único, com resgate pelo valor total. </w:t>
      </w:r>
      <w:r>
        <w:fldChar w:fldCharType="begin"/>
      </w:r>
      <w:r>
        <w:instrText xml:space="preserve"> HYPERLINK "https://www.planalto.gov.br/ccivil_03/_Ato2023-2026/2023/Lei/L14770.htm#art1" \o "https://www.planalto.gov.br/ccivil_03/_Ato2023-2026/2023/Lei/L14770.htm#art1"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(Incluído pela Lei nº 14.770, de 2023)</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p>
    <w:p w14:paraId="400DD7DA">
      <w:pPr>
        <w:pStyle w:val="143"/>
        <w:spacing w:before="240"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21.19. A garantia adicional soma-se às demais garantias contratuais exigidas, não as substituindo, e terá as mesmas condições e prazo de vigência das demais garantias prestadas.</w:t>
      </w:r>
    </w:p>
    <w:p w14:paraId="26D0BBE6">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21.20. A garantia adicional será liberada ou restituída nas mesmas condições estabelecidas para a garantia de execução contratual, após o cumprimento integral de todas as obrigações contratuais.</w:t>
      </w:r>
    </w:p>
    <w:p w14:paraId="6AC9BD49">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21.21. A exigência da garantia adicional independe de previsão específica no edital, constituindo obrigação legal automática sempre que verificada a condição prevista no art. 59, §5º da </w:t>
      </w:r>
    </w:p>
    <w:p w14:paraId="385DF8CC">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26A74A9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21.22. O não cumprimento da obrigação de apresentar a garantia adicional no prazo estabelecido implicará na aplicação das sanções previstas em lei e poderá ensejar a rescisão do contrato por descumprimento de obrigação contratual.</w:t>
      </w:r>
    </w:p>
    <w:p w14:paraId="6475B83E">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22. DA CELEBRAÇÃO DO AJUSTE</w:t>
      </w:r>
    </w:p>
    <w:p w14:paraId="53D3B033">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698EF419">
      <w:pPr>
        <w:pStyle w:val="187"/>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22.1. Homologada a licitação pela autoridade competente da Prefeitura, a licitante vencedora será convocada oficialmente para, no prazo máximo de 05 (cinco) dias úteis, a contar da data do recebimento da convocação, assinar o contrato, sob pena de decair do direito à contratação, nos termos do art. 90 da Lei nº 14.133/2021.</w:t>
      </w:r>
    </w:p>
    <w:p w14:paraId="07635230">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30413037">
      <w:pPr>
        <w:pStyle w:val="187"/>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22.2. Conforme o §2º do art. 90 da Lei nº 14.133/2021, se a licitante vencedora se recusar injustificadamente a assinar o contrato, será convocada a licitante subsequente, observada a ordem de classificação, para celebrar o ajuste, sem prejuízo da aplicação das sanções cabíveis, conforme o art. 156 da mesma Lei.</w:t>
      </w:r>
    </w:p>
    <w:p w14:paraId="1B0C63DB">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7CA9E0B4">
      <w:pPr>
        <w:pStyle w:val="187"/>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22.3. O critério de aceitabilidade dos preços unitários e global observará o disposto no art. 59 da Lei nº 14.133/2021, especialmente quanto à análise da exequibilidade e à exigência de garantia adicional, nas hipóteses de propostas inferiores a 85% (oitenta e cinco por cento) do valor orçado pela Administração.Fica vedada a fixação de preços mínimos, critérios estatísticos ou faixas de variação em relação aos preços de referência, salvo nos casos de revisão de valores decorrentes de alterações técnicas ou quantitativas devidamente justificadas.</w:t>
      </w:r>
    </w:p>
    <w:p w14:paraId="2350E41C">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F5D0CF6">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23. DA VIGÊNCIA DO CONTRATO E EXECUÇÃO</w:t>
      </w:r>
    </w:p>
    <w:p w14:paraId="175948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177218A">
      <w:pPr>
        <w:pStyle w:val="213"/>
        <w:tabs>
          <w:tab w:val="left" w:pos="1589"/>
        </w:tabs>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PT" w:bidi="hi-IN"/>
        </w:rPr>
        <w:t xml:space="preserve">23.1. O </w:t>
      </w:r>
      <w:r>
        <w:rPr>
          <w:rFonts w:ascii="Book Antiqua" w:hAnsi="Book Antiqua" w:cs="Book Antiqua"/>
          <w:b/>
          <w:i w:val="0"/>
          <w:caps w:val="0"/>
          <w:smallCaps w:val="0"/>
          <w:strike w:val="0"/>
          <w:color w:val="000000"/>
          <w:spacing w:val="0"/>
          <w:sz w:val="18"/>
          <w:szCs w:val="18"/>
          <w:u w:val="none"/>
          <w:lang w:val="pt-PT" w:bidi="hi-IN"/>
        </w:rPr>
        <w:t>prazo de vigência</w:t>
      </w:r>
      <w:r>
        <w:rPr>
          <w:rFonts w:ascii="Book Antiqua" w:hAnsi="Book Antiqua" w:cs="Book Antiqua"/>
          <w:b w:val="0"/>
          <w:i w:val="0"/>
          <w:caps w:val="0"/>
          <w:smallCaps w:val="0"/>
          <w:strike w:val="0"/>
          <w:color w:val="000000"/>
          <w:spacing w:val="0"/>
          <w:sz w:val="18"/>
          <w:szCs w:val="18"/>
          <w:u w:val="none"/>
          <w:lang w:val="pt-PT" w:bidi="hi-IN"/>
        </w:rPr>
        <w:t xml:space="preserve"> do contrato será de </w:t>
      </w:r>
      <w:r>
        <w:rPr>
          <w:rFonts w:ascii="Book Antiqua" w:hAnsi="Book Antiqua" w:cs="Book Antiqua"/>
          <w:b w:val="0"/>
          <w:i w:val="0"/>
          <w:caps w:val="0"/>
          <w:smallCaps w:val="0"/>
          <w:strike w:val="0"/>
          <w:color w:val="000000"/>
          <w:spacing w:val="0"/>
          <w:sz w:val="18"/>
          <w:szCs w:val="18"/>
          <w:u w:val="none"/>
          <w:lang w:val="pt-BR" w:bidi="hi-IN"/>
        </w:rPr>
        <w:t>15</w:t>
      </w:r>
      <w:r>
        <w:rPr>
          <w:rFonts w:ascii="Book Antiqua" w:hAnsi="Book Antiqua" w:cs="Book Antiqua"/>
          <w:b w:val="0"/>
          <w:i w:val="0"/>
          <w:caps w:val="0"/>
          <w:smallCaps w:val="0"/>
          <w:strike w:val="0"/>
          <w:color w:val="000000"/>
          <w:spacing w:val="0"/>
          <w:sz w:val="18"/>
          <w:szCs w:val="18"/>
          <w:u w:val="none"/>
          <w:lang w:val="pt-PT" w:bidi="hi-IN"/>
        </w:rPr>
        <w:t xml:space="preserve"> (</w:t>
      </w:r>
      <w:r>
        <w:rPr>
          <w:rFonts w:ascii="Book Antiqua" w:hAnsi="Book Antiqua" w:cs="Book Antiqua"/>
          <w:b w:val="0"/>
          <w:i w:val="0"/>
          <w:caps w:val="0"/>
          <w:smallCaps w:val="0"/>
          <w:strike w:val="0"/>
          <w:color w:val="000000"/>
          <w:spacing w:val="0"/>
          <w:sz w:val="18"/>
          <w:szCs w:val="18"/>
          <w:u w:val="none"/>
          <w:lang w:val="pt-BR" w:bidi="hi-IN"/>
        </w:rPr>
        <w:t>quinze) meses</w:t>
      </w:r>
      <w:r>
        <w:rPr>
          <w:rFonts w:ascii="Book Antiqua" w:hAnsi="Book Antiqua" w:cs="Book Antiqua"/>
          <w:b w:val="0"/>
          <w:i w:val="0"/>
          <w:caps w:val="0"/>
          <w:smallCaps w:val="0"/>
          <w:strike w:val="0"/>
          <w:color w:val="000000"/>
          <w:spacing w:val="0"/>
          <w:sz w:val="18"/>
          <w:szCs w:val="18"/>
          <w:u w:val="none"/>
          <w:lang w:val="pt-PT" w:bidi="hi-IN"/>
        </w:rPr>
        <w:t xml:space="preserve"> contados a partir da data da assinatura do Instrumento Contratual.</w:t>
      </w:r>
    </w:p>
    <w:p w14:paraId="2A662C7E">
      <w:pPr>
        <w:pStyle w:val="215"/>
        <w:jc w:val="both"/>
        <w:rPr>
          <w:rFonts w:ascii="Times New Roman" w:hAnsi="Times New Roman" w:cs="Times New Roman"/>
          <w:b w:val="0"/>
          <w:i w:val="0"/>
          <w:caps w:val="0"/>
          <w:smallCaps w:val="0"/>
          <w:strike w:val="0"/>
          <w:color w:val="000000"/>
          <w:spacing w:val="0"/>
          <w:sz w:val="20"/>
          <w:szCs w:val="20"/>
          <w:u w:val="none"/>
          <w:lang w:val="pt-BR" w:bidi="hi-IN"/>
        </w:rPr>
      </w:pPr>
    </w:p>
    <w:p w14:paraId="56B9A52D">
      <w:pPr>
        <w:pStyle w:val="213"/>
        <w:tabs>
          <w:tab w:val="left" w:pos="1589"/>
        </w:tabs>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PT" w:bidi="hi-IN"/>
        </w:rPr>
        <w:t>23.2. O</w:t>
      </w:r>
      <w:r>
        <w:rPr>
          <w:rFonts w:ascii="Book Antiqua" w:hAnsi="Book Antiqua" w:cs="Book Antiqua"/>
          <w:b/>
          <w:i w:val="0"/>
          <w:caps w:val="0"/>
          <w:smallCaps w:val="0"/>
          <w:strike w:val="0"/>
          <w:color w:val="000000"/>
          <w:spacing w:val="0"/>
          <w:sz w:val="18"/>
          <w:szCs w:val="18"/>
          <w:u w:val="none"/>
          <w:lang w:val="pt-PT" w:bidi="hi-IN"/>
        </w:rPr>
        <w:t xml:space="preserve"> prazo de execução</w:t>
      </w:r>
      <w:r>
        <w:rPr>
          <w:rFonts w:ascii="Book Antiqua" w:hAnsi="Book Antiqua" w:cs="Book Antiqua"/>
          <w:b w:val="0"/>
          <w:i w:val="0"/>
          <w:caps w:val="0"/>
          <w:smallCaps w:val="0"/>
          <w:strike w:val="0"/>
          <w:color w:val="000000"/>
          <w:spacing w:val="0"/>
          <w:sz w:val="18"/>
          <w:szCs w:val="18"/>
          <w:u w:val="none"/>
          <w:lang w:val="pt-PT" w:bidi="hi-IN"/>
        </w:rPr>
        <w:t xml:space="preserve"> do objeto será de</w:t>
      </w:r>
      <w:r>
        <w:rPr>
          <w:rFonts w:ascii="Book Antiqua" w:hAnsi="Book Antiqua" w:cs="Book Antiqua"/>
          <w:b w:val="0"/>
          <w:i w:val="0"/>
          <w:caps w:val="0"/>
          <w:smallCaps w:val="0"/>
          <w:strike w:val="0"/>
          <w:color w:val="000000"/>
          <w:spacing w:val="0"/>
          <w:sz w:val="18"/>
          <w:szCs w:val="18"/>
          <w:u w:val="none"/>
          <w:lang w:val="pt-BR" w:bidi="hi-IN"/>
        </w:rPr>
        <w:t xml:space="preserve"> 12 (doze) meses</w:t>
      </w:r>
      <w:r>
        <w:rPr>
          <w:rFonts w:ascii="Book Antiqua" w:hAnsi="Book Antiqua" w:cs="Book Antiqua"/>
          <w:b w:val="0"/>
          <w:i w:val="0"/>
          <w:caps w:val="0"/>
          <w:smallCaps w:val="0"/>
          <w:strike w:val="0"/>
          <w:color w:val="000000"/>
          <w:spacing w:val="0"/>
          <w:sz w:val="18"/>
          <w:szCs w:val="18"/>
          <w:u w:val="none"/>
          <w:lang w:val="pt-PT" w:bidi="hi-IN"/>
        </w:rPr>
        <w:t xml:space="preserve"> contados a partir da data da assinatura do Instrumento Contratual.</w:t>
      </w:r>
    </w:p>
    <w:p w14:paraId="77225779">
      <w:pPr>
        <w:pStyle w:val="215"/>
        <w:jc w:val="both"/>
        <w:rPr>
          <w:rFonts w:ascii="Times New Roman" w:hAnsi="Times New Roman" w:cs="Times New Roman"/>
          <w:b w:val="0"/>
          <w:i w:val="0"/>
          <w:caps w:val="0"/>
          <w:smallCaps w:val="0"/>
          <w:strike w:val="0"/>
          <w:color w:val="000000"/>
          <w:spacing w:val="0"/>
          <w:sz w:val="20"/>
          <w:szCs w:val="20"/>
          <w:u w:val="none"/>
          <w:lang w:val="pt-BR" w:bidi="hi-IN"/>
        </w:rPr>
      </w:pPr>
    </w:p>
    <w:p w14:paraId="7CCD1DF8">
      <w:pPr>
        <w:pStyle w:val="215"/>
        <w:jc w:val="both"/>
        <w:rPr>
          <w:rFonts w:ascii="Times New Roman" w:hAnsi="Times New Roman" w:cs="Times New Roman"/>
          <w:b w:val="0"/>
          <w:i w:val="0"/>
          <w:caps w:val="0"/>
          <w:smallCaps w:val="0"/>
          <w:strike w:val="0"/>
          <w:color w:val="000000"/>
          <w:spacing w:val="0"/>
          <w:sz w:val="20"/>
          <w:szCs w:val="20"/>
          <w:u w:val="none"/>
          <w:lang w:val="pt-BR" w:bidi="hi-IN"/>
        </w:rPr>
      </w:pPr>
      <w:r>
        <w:rPr>
          <w:rFonts w:ascii="Times New Roman" w:hAnsi="Times New Roman" w:cs="Times New Roman"/>
          <w:b w:val="0"/>
          <w:i w:val="0"/>
          <w:caps w:val="0"/>
          <w:smallCaps w:val="0"/>
          <w:strike w:val="0"/>
          <w:color w:val="000000"/>
          <w:spacing w:val="0"/>
          <w:sz w:val="20"/>
          <w:szCs w:val="20"/>
          <w:u w:val="none"/>
          <w:lang w:val="pt-BR" w:bidi="hi-IN"/>
        </w:rPr>
        <w:t>23.3. As aplicações de penalidades elencadas no item 17 desde edital, não estão limitadas ao prazo de vigência do contrato.</w:t>
      </w:r>
    </w:p>
    <w:p w14:paraId="4EF39C0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F357DD6">
      <w:pPr>
        <w:pStyle w:val="187"/>
        <w:pBdr>
          <w:top w:val="single" w:color="000000" w:sz="4" w:space="0"/>
          <w:left w:val="single" w:color="000000" w:sz="4" w:space="0"/>
          <w:bottom w:val="single" w:color="000000" w:sz="4" w:space="0"/>
          <w:right w:val="single" w:color="000000" w:sz="4" w:space="0"/>
        </w:pBdr>
        <w:shd w:val="clear" w:color="auto" w:fill="D9D9D9"/>
        <w:spacing w:line="276" w:lineRule="auto"/>
        <w:jc w:val="center"/>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24. RECEBIMENTO DO OBJETO</w:t>
      </w:r>
    </w:p>
    <w:p w14:paraId="6F35479F">
      <w:pPr>
        <w:pStyle w:val="143"/>
        <w:tabs>
          <w:tab w:val="left" w:pos="709"/>
          <w:tab w:val="left" w:pos="849"/>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73210DD">
      <w:pPr>
        <w:pStyle w:val="143"/>
        <w:tabs>
          <w:tab w:val="left" w:pos="709"/>
          <w:tab w:val="left" w:pos="849"/>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24.1. Executado o contrato, o serviço será recebido na forma do art. 140 da Lei nº 14.133/2021, mediante Termo de Recebimento Provisório e, posteriormente, Termo de Recebimento Definitivo.</w:t>
      </w:r>
    </w:p>
    <w:p w14:paraId="5DFAC0E5">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23FBA75">
      <w:pPr>
        <w:pStyle w:val="195"/>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24.2. O Recebimento Provisório será realizado pelo responsável pela fiscalização do contrato, mediante termo circunstanciado, no prazo de até 15 (quinze) dias úteis contados da comunicação escrita da contratada sobre a conclusão dos serviços.</w:t>
      </w:r>
    </w:p>
    <w:p w14:paraId="2243D121">
      <w:pPr>
        <w:pStyle w:val="195"/>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07399A0D">
      <w:pPr>
        <w:pStyle w:val="195"/>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24.3. O Recebimento Definitivo será efetuado pela Secretaria Municipal de Infraestrutura, mediante termo circunstanciado assinado pelas partes, após verificação de que os serviços atendem integralmente às exigências contratuais e técnicas, no prazo máximo de 90 (noventa) dias contados do recebimento provisório.</w:t>
      </w:r>
    </w:p>
    <w:p w14:paraId="27EB0226">
      <w:pPr>
        <w:pStyle w:val="195"/>
        <w:spacing w:line="276" w:lineRule="auto"/>
        <w:rPr>
          <w:rFonts w:ascii="Times New Roman" w:hAnsi="Times New Roman" w:cs="Times New Roman"/>
          <w:b w:val="0"/>
          <w:i w:val="0"/>
          <w:caps w:val="0"/>
          <w:smallCaps w:val="0"/>
          <w:strike w:val="0"/>
          <w:color w:val="000000"/>
          <w:spacing w:val="0"/>
          <w:sz w:val="24"/>
          <w:szCs w:val="20"/>
          <w:u w:val="none"/>
          <w:lang w:val="pt-BR" w:bidi="ar-SA"/>
        </w:rPr>
      </w:pPr>
    </w:p>
    <w:p w14:paraId="3994A10C">
      <w:pPr>
        <w:pStyle w:val="195"/>
        <w:spacing w:line="276" w:lineRule="auto"/>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24.4. O Recebimento Provisório ou Definitivo não exclui a responsabilidade da contratada pela solidez, segurança e durabilidade da obra, podendo a Administração exigir a correção de defeitos ou vícios de execução que venham a surgir dentro do prazo de garantia previsto em lei e no contrato.</w:t>
      </w:r>
    </w:p>
    <w:p w14:paraId="53A8BE1B">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2B7E6A2A">
      <w:pPr>
        <w:pStyle w:val="187"/>
        <w:spacing w:line="276" w:lineRule="auto"/>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24.5. Outras obrigações relacionadas ao recebimento do objeto estão definidas no Estudo Técnico Preliminar (ETP), no Projeto Básico e na Minuta de Contrato constante do Anexo IX deste Edital.</w:t>
      </w:r>
    </w:p>
    <w:p w14:paraId="78864050">
      <w:pPr>
        <w:pStyle w:val="187"/>
        <w:spacing w:line="276" w:lineRule="auto"/>
        <w:rPr>
          <w:rFonts w:ascii="Arial" w:hAnsi="Arial" w:cs="Arial"/>
          <w:b w:val="0"/>
          <w:i w:val="0"/>
          <w:caps w:val="0"/>
          <w:smallCaps w:val="0"/>
          <w:strike w:val="0"/>
          <w:color w:val="000000"/>
          <w:spacing w:val="0"/>
          <w:sz w:val="24"/>
          <w:szCs w:val="20"/>
          <w:u w:val="none"/>
          <w:lang w:val="pt-BR" w:bidi="ar-SA"/>
        </w:rPr>
      </w:pPr>
    </w:p>
    <w:p w14:paraId="69A0E5A6">
      <w:pPr>
        <w:pStyle w:val="187"/>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Arial" w:hAnsi="Arial" w:cs="Arial"/>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25. DAS DISPOSIÇÕES GERAIS</w:t>
      </w:r>
    </w:p>
    <w:p w14:paraId="77EF50E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A6D28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 As licitantes deverão observar atentamente as normas deste Edital;</w:t>
      </w:r>
    </w:p>
    <w:p w14:paraId="7178A4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ECCC68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25.2. Fica assegurado à autoridade superior da Prefeitura, no interesse da Administração, o direito de adiar a data da abertura sessão, divulgando a nova data marcada.</w:t>
      </w:r>
    </w:p>
    <w:p w14:paraId="0114E657">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2A0CB047">
      <w:pPr>
        <w:pStyle w:val="182"/>
        <w:spacing w:after="240"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25.3. É facultada ao Agente de Contratação, ou à autoridade superior, em qualquer fase da licitação, a promoção de diligências destinadas a esclarecer ou a complementar a instrução do processo nos termos do Art. 64.</w:t>
      </w:r>
    </w:p>
    <w:p w14:paraId="053FA326">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 xml:space="preserve">Art. 64ºApós a entrega dos documentos para habilitação, não será permitida a substituição ou a apresentação de </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novos documentos, salvo em sede de diligência, para:</w:t>
      </w:r>
    </w:p>
    <w:p w14:paraId="423BD402">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 xml:space="preserve">I – complementação de informações acerca dos documentos já apresentados pelos licitantes e desde que </w:t>
      </w: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necessária para apurar fatos existentes à época da abertura do certame;</w:t>
      </w:r>
    </w:p>
    <w:p w14:paraId="3807489A">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b/>
      </w:r>
      <w:r>
        <w:rPr>
          <w:rFonts w:ascii="Book Antiqua" w:hAnsi="Book Antiqua" w:cs="Book Antiqua"/>
          <w:b w:val="0"/>
          <w:i w:val="0"/>
          <w:caps w:val="0"/>
          <w:smallCaps w:val="0"/>
          <w:strike w:val="0"/>
          <w:color w:val="000000"/>
          <w:spacing w:val="0"/>
          <w:sz w:val="18"/>
          <w:szCs w:val="18"/>
          <w:u w:val="none"/>
          <w:lang w:val="pt-BR" w:bidi="ar-SA"/>
        </w:rPr>
        <w:t>II – atualização de documentos cuja validade tenha expirado após a data de recebimento das propostas.</w:t>
      </w:r>
    </w:p>
    <w:p w14:paraId="2BCA0C1D">
      <w:pPr>
        <w:pStyle w:val="182"/>
        <w:spacing w:line="276" w:lineRule="auto"/>
        <w:ind w:left="737"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1º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0F17E986">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431DC8E3">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25.4. O resultado desta licitação, será publicado nos mesmos veículos de publicidade que se deu o aviso desta licitação, ou seja, no sítio eletrônico do Portal Nacional de Contratações Públicas – PNCP, no site da Prefeitura Municipal de Rondonópolis, Diário Oficial da União, Diário de Contas (TCE), Diário Município de Rondonópolis, jornal de circulação estadual “ESTADÃO” e jornal de circulação local/regional “A TRIBUNA”.</w:t>
      </w:r>
    </w:p>
    <w:p w14:paraId="10B93E1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3BC112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25.5. A autoridade superior deverá anular o certame diante de constatada ilegalidade.</w:t>
      </w:r>
    </w:p>
    <w:p w14:paraId="3B1E06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251391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25.6. Os licitantes assumem todos os custos de preparação e apresentação de suas propostas. A Prefeitura não será, em nenhum caso, responsável por esses custos, independentemente da condução ou resultado do processo licitatório.</w:t>
      </w:r>
    </w:p>
    <w:p w14:paraId="1E12FC7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B89FF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25.7. Os proponentes são responsáveis pela fidelidade e legitimidade das informações e dos documentos apresentados em qualquer fase da licitação.</w:t>
      </w:r>
    </w:p>
    <w:p w14:paraId="3F68EE9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D257F6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25.8. Após apresentação da proposta, não caberá desistência, salvo por motivo justo decorrente de fato superveniente e aceito pelo Agente de Contratação.</w:t>
      </w:r>
    </w:p>
    <w:p w14:paraId="3A833B2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ACC8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25.9. 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do Agente de Contratação em sentido contrário.</w:t>
      </w:r>
    </w:p>
    <w:p w14:paraId="3770A66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F9F6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25.10. Na contagem dos prazos estabelecidos neste Edital e seus anexos, excluir-se-á o dia do início e incluir-se-á o de vencimento. Só se iniciam e vencem os prazos em dias de expediente na Prefeitura. Considerar-se-ão dias corridos, exceto quando for explicitamente disposto em contrário.</w:t>
      </w:r>
    </w:p>
    <w:p w14:paraId="5BCDEC1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E070FB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25.11. O desatendimento às exigências formais não-essenciais não importará no afastamento do licitante, desde que seja possível a aferição de sua qualificação e a exata compreensão da sua proposta durante a realização da sessão pública da licitação.</w:t>
      </w:r>
    </w:p>
    <w:p w14:paraId="7BCDF1E8">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72C85ACB">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25.12. Em caso de desfazimento deste processo licitatório, o mesmo será devidamente motivado, sendo assegurado o contraditório e a ampla defesa.</w:t>
      </w:r>
    </w:p>
    <w:p w14:paraId="3DC67D8A">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1F82B24A">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25.13. Decorridos 60 (sessenta) dias da data da entrega das propostas de preços, sem convocação para contratação ou pedido de prorrogação da validade, os licitantes ficarão liberados dos compromissos assumidos neste certame.</w:t>
      </w:r>
    </w:p>
    <w:p w14:paraId="7FC85597">
      <w:pPr>
        <w:pStyle w:val="182"/>
        <w:spacing w:line="276" w:lineRule="auto"/>
        <w:ind w:left="0" w:right="0" w:firstLine="0"/>
        <w:rPr>
          <w:rFonts w:ascii="Times New Roman" w:hAnsi="Times New Roman" w:cs="Times New Roman"/>
          <w:b w:val="0"/>
          <w:i w:val="0"/>
          <w:caps w:val="0"/>
          <w:smallCaps w:val="0"/>
          <w:strike w:val="0"/>
          <w:color w:val="000000"/>
          <w:spacing w:val="0"/>
          <w:sz w:val="24"/>
          <w:szCs w:val="20"/>
          <w:u w:val="none"/>
          <w:lang w:val="pt-BR" w:bidi="ar-SA"/>
        </w:rPr>
      </w:pPr>
    </w:p>
    <w:p w14:paraId="599D1AE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25.14. Qualquer pedido de esclarecimento em relação a eventuais dúvidas na interpretação do presente Edital e seus Anexos deverá ser enviado exclusivamente por meio da plataforma eletrônica BLL Compras (</w:t>
      </w:r>
      <w:r>
        <w:fldChar w:fldCharType="begin"/>
      </w:r>
      <w:r>
        <w:instrText xml:space="preserve"> HYPERLINK \l "ttp://www.bllcompras.com/" \o "#ttp://www.bllcompras.com/"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www.bllcompras.com</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no campo próprio destinado a “Esclarecimentos”, observado o prazo regulamentar.Não serão admitidos pedidos de esclarecimento encaminhados por e-mail ou protocolados fisicamente na Prefeitura Municipal de Rondonópolis.</w:t>
      </w:r>
    </w:p>
    <w:p w14:paraId="692E6045">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296353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25.15. A homologação do resultado desta licitação gera mera expectativa de direito à contratação.</w:t>
      </w:r>
    </w:p>
    <w:p w14:paraId="4B4D3FE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E56A4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25.16. Aos casos omissos aplicar-se-ão as disposições constantes da legislação vigente que rege a matéria.</w:t>
      </w:r>
    </w:p>
    <w:p w14:paraId="7573FB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4002C4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25.17. Decairá do direito de pedir esclarecimentos ou impugnar os termos deste Edital aquele que não o fizer até 03 (três) dias úteis antes da data designada para a abertura da sessão pública, apontando de forma clara e objetiva as falhas ou irregularidades que entenda viciarem o mesmo. As impugnações e pedidos de esclarecimentos deverão ser formulados exclusivamente por meio da plataforma eletrônica BLL Compras (</w:t>
      </w:r>
      <w:r>
        <w:fldChar w:fldCharType="begin"/>
      </w:r>
      <w:r>
        <w:instrText xml:space="preserve"> HYPERLINK \l "ttp://www.bllcompras.com/" \o "#ttp://www.bllcompras.com/"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www.bllcompras.com</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na forma eletrônica, devidamente assinados digitalmente pelo representante legal da licitante. As manifestações serão analisadas e respondidas eletronicamente pelo Agente de Contratação, no prazo de até 03 (três) dias úteis, conforme previsto no art. 164 da Lei nº 14.133/2021 e nas regras da plataforma.</w:t>
      </w:r>
    </w:p>
    <w:p w14:paraId="7D4653A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58D5DE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25.18. Se a impugnação ao edital for reconhecida e julgada procedente, serão corrigidos os vícios e, caso a formulação da proposta seja afetada, nova data será designada para a realização do certame;</w:t>
      </w:r>
    </w:p>
    <w:p w14:paraId="0BBD681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F6459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25.19. Ocorrendo impugnação de caráter meramente protelatório, ensejando assim o retardamento da execução do certame, a autoridade competente poderá, assegurado o contraditório e a ampla defesa, aplicar a pena estabelecida no artigo 156 da Lei n. 14.133 de 2021 e legislação vigente.</w:t>
      </w:r>
    </w:p>
    <w:p w14:paraId="78DDD12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59C77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25.20. Quem impedir, perturbar ou fraudar, assegurado o contraditório e a ampla defesa, a realização de qualquer ato do procedimento licitatório, incorrerá em pena de detenção, de 6 (seis) meses a 3 (três) anos, e multa, nos termos do artigo 337-I do Código Penal Brasileiro.</w:t>
      </w:r>
    </w:p>
    <w:p w14:paraId="3D32657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A04117F">
      <w:pPr>
        <w:pStyle w:val="143"/>
        <w:pBdr>
          <w:top w:val="single" w:color="000000" w:sz="4" w:space="0"/>
          <w:left w:val="single" w:color="000000" w:sz="4" w:space="0"/>
          <w:bottom w:val="single" w:color="000000" w:sz="4" w:space="0"/>
          <w:right w:val="single" w:color="000000" w:sz="4" w:space="0"/>
        </w:pBdr>
        <w:shd w:val="clear" w:color="auto" w:fill="E0E0E0"/>
        <w:tabs>
          <w:tab w:val="left" w:pos="3068"/>
          <w:tab w:val="center" w:pos="4404"/>
        </w:tabs>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26. QUADRO DE ASSINATURA E APROVAÇÃO</w:t>
      </w:r>
    </w:p>
    <w:p w14:paraId="02338F80">
      <w:pPr>
        <w:pStyle w:val="143"/>
        <w:spacing w:line="276" w:lineRule="auto"/>
        <w:jc w:val="right"/>
        <w:rPr>
          <w:rFonts w:ascii="Times New Roman" w:hAnsi="Times New Roman" w:cs="Times New Roman"/>
          <w:b w:val="0"/>
          <w:i w:val="0"/>
          <w:caps w:val="0"/>
          <w:smallCaps w:val="0"/>
          <w:strike w:val="0"/>
          <w:color w:val="000000"/>
          <w:spacing w:val="0"/>
          <w:sz w:val="20"/>
          <w:szCs w:val="20"/>
          <w:u w:val="none"/>
          <w:lang w:val="pt-BR" w:bidi="ar-SA"/>
        </w:rPr>
      </w:pPr>
    </w:p>
    <w:p w14:paraId="52CAE585">
      <w:pPr>
        <w:pStyle w:val="143"/>
        <w:spacing w:line="276" w:lineRule="auto"/>
        <w:jc w:val="right"/>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xml:space="preserve">Rondonópolis/MT, </w:t>
      </w:r>
      <w:r>
        <w:rPr>
          <w:rFonts w:hint="default" w:ascii="Book Antiqua" w:hAnsi="Book Antiqua" w:cs="Book Antiqua"/>
          <w:b/>
          <w:i w:val="0"/>
          <w:caps w:val="0"/>
          <w:smallCaps w:val="0"/>
          <w:strike w:val="0"/>
          <w:color w:val="000000"/>
          <w:spacing w:val="0"/>
          <w:sz w:val="18"/>
          <w:szCs w:val="18"/>
          <w:u w:val="none"/>
          <w:lang w:val="pt-BR" w:bidi="ar-SA"/>
        </w:rPr>
        <w:t>30</w:t>
      </w:r>
      <w:r>
        <w:rPr>
          <w:rFonts w:ascii="Book Antiqua" w:hAnsi="Book Antiqua" w:cs="Book Antiqua"/>
          <w:b/>
          <w:i w:val="0"/>
          <w:caps w:val="0"/>
          <w:smallCaps w:val="0"/>
          <w:strike w:val="0"/>
          <w:color w:val="000000"/>
          <w:spacing w:val="0"/>
          <w:sz w:val="18"/>
          <w:szCs w:val="18"/>
          <w:u w:val="none"/>
          <w:lang w:val="pt-BR" w:bidi="ar-SA"/>
        </w:rPr>
        <w:t xml:space="preserve"> de </w:t>
      </w:r>
      <w:r>
        <w:rPr>
          <w:rFonts w:hint="default" w:ascii="Book Antiqua" w:hAnsi="Book Antiqua" w:cs="Book Antiqua"/>
          <w:b/>
          <w:i w:val="0"/>
          <w:caps w:val="0"/>
          <w:smallCaps w:val="0"/>
          <w:strike w:val="0"/>
          <w:color w:val="000000"/>
          <w:spacing w:val="0"/>
          <w:sz w:val="18"/>
          <w:szCs w:val="18"/>
          <w:u w:val="none"/>
          <w:lang w:val="pt-BR" w:bidi="ar-SA"/>
        </w:rPr>
        <w:t>julho</w:t>
      </w:r>
      <w:r>
        <w:rPr>
          <w:rFonts w:ascii="Book Antiqua" w:hAnsi="Book Antiqua" w:cs="Book Antiqua"/>
          <w:b/>
          <w:i w:val="0"/>
          <w:caps w:val="0"/>
          <w:smallCaps w:val="0"/>
          <w:strike w:val="0"/>
          <w:color w:val="000000"/>
          <w:spacing w:val="0"/>
          <w:sz w:val="18"/>
          <w:szCs w:val="18"/>
          <w:u w:val="none"/>
          <w:lang w:val="pt-BR" w:bidi="ar-SA"/>
        </w:rPr>
        <w:t xml:space="preserve"> de 2026.</w:t>
      </w:r>
    </w:p>
    <w:p w14:paraId="354A0598">
      <w:pPr>
        <w:pStyle w:val="143"/>
        <w:spacing w:line="276" w:lineRule="auto"/>
        <w:rPr>
          <w:rFonts w:ascii="Times New Roman" w:hAnsi="Times New Roman" w:cs="Times New Roman"/>
          <w:b w:val="0"/>
          <w:bCs w:val="0"/>
          <w:i w:val="0"/>
          <w:caps w:val="0"/>
          <w:smallCaps w:val="0"/>
          <w:strike w:val="0"/>
          <w:color w:val="000000"/>
          <w:spacing w:val="0"/>
          <w:sz w:val="20"/>
          <w:szCs w:val="20"/>
          <w:u w:val="none"/>
          <w:lang w:val="pt-BR" w:bidi="ar-SA"/>
        </w:rPr>
      </w:pPr>
    </w:p>
    <w:p w14:paraId="4B38A0E0">
      <w:pPr>
        <w:pStyle w:val="143"/>
        <w:spacing w:line="276" w:lineRule="auto"/>
        <w:rPr>
          <w:rFonts w:ascii="Times New Roman" w:hAnsi="Times New Roman" w:cs="Times New Roman"/>
          <w:b w:val="0"/>
          <w:bCs w:val="0"/>
          <w:i w:val="0"/>
          <w:caps w:val="0"/>
          <w:smallCaps w:val="0"/>
          <w:strike w:val="0"/>
          <w:color w:val="000000"/>
          <w:spacing w:val="0"/>
          <w:sz w:val="20"/>
          <w:szCs w:val="20"/>
          <w:u w:val="none"/>
          <w:lang w:val="pt-BR" w:bidi="ar-SA"/>
        </w:rPr>
      </w:pPr>
    </w:p>
    <w:p w14:paraId="037F0DA8">
      <w:pPr>
        <w:pStyle w:val="143"/>
        <w:spacing w:line="276" w:lineRule="auto"/>
        <w:rPr>
          <w:rFonts w:ascii="Times New Roman" w:hAnsi="Times New Roman" w:cs="Times New Roman"/>
          <w:b w:val="0"/>
          <w:bCs w:val="0"/>
          <w:i w:val="0"/>
          <w:caps w:val="0"/>
          <w:smallCaps w:val="0"/>
          <w:strike w:val="0"/>
          <w:color w:val="000000"/>
          <w:spacing w:val="0"/>
          <w:sz w:val="20"/>
          <w:szCs w:val="20"/>
          <w:u w:val="none"/>
          <w:lang w:val="pt-BR" w:bidi="ar-SA"/>
        </w:rPr>
      </w:pPr>
    </w:p>
    <w:p w14:paraId="60C16A99">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DF97ABF">
      <w:pPr>
        <w:pStyle w:val="210"/>
        <w:jc w:val="center"/>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i w:val="0"/>
          <w:caps w:val="0"/>
          <w:smallCaps w:val="0"/>
          <w:strike w:val="0"/>
          <w:color w:val="000000"/>
          <w:spacing w:val="0"/>
          <w:sz w:val="20"/>
          <w:szCs w:val="20"/>
          <w:u w:val="none"/>
          <w:lang w:val="pt-BR" w:bidi="hi-IN"/>
        </w:rPr>
        <w:t>RAFAELLY PRISCILA REZENDE DE ALMEIDA</w:t>
      </w:r>
    </w:p>
    <w:p w14:paraId="78C0293B">
      <w:pPr>
        <w:pStyle w:val="210"/>
        <w:spacing w:line="276" w:lineRule="auto"/>
        <w:jc w:val="center"/>
        <w:rPr>
          <w:rFonts w:ascii="Liberation Serif" w:hAnsi="Liberation Serif" w:cs="Liberation Serif"/>
          <w:b w:val="0"/>
          <w:i w:val="0"/>
          <w:caps w:val="0"/>
          <w:smallCaps w:val="0"/>
          <w:strike w:val="0"/>
          <w:color w:val="000000"/>
          <w:spacing w:val="0"/>
          <w:sz w:val="24"/>
          <w:szCs w:val="24"/>
          <w:u w:val="none"/>
          <w:lang w:val="pt-BR" w:bidi="hi-IN"/>
        </w:rPr>
      </w:pPr>
      <w:r>
        <w:rPr>
          <w:rFonts w:ascii="Book Antiqua" w:hAnsi="Book Antiqua" w:cs="Book Antiqua"/>
          <w:b w:val="0"/>
          <w:i w:val="0"/>
          <w:caps w:val="0"/>
          <w:smallCaps w:val="0"/>
          <w:strike w:val="0"/>
          <w:color w:val="000000"/>
          <w:spacing w:val="0"/>
          <w:sz w:val="20"/>
          <w:szCs w:val="20"/>
          <w:u w:val="none"/>
          <w:lang w:val="pt-BR" w:bidi="ar-SA"/>
        </w:rPr>
        <w:t>Superintendente de Compras e Licitação</w:t>
      </w:r>
    </w:p>
    <w:p w14:paraId="0AA79D61">
      <w:pPr>
        <w:pStyle w:val="210"/>
        <w:spacing w:line="276" w:lineRule="auto"/>
        <w:jc w:val="center"/>
        <w:rPr>
          <w:rFonts w:ascii="Liberation Serif" w:hAnsi="Liberation Serif" w:cs="Liberation Serif"/>
          <w:b w:val="0"/>
          <w:i w:val="0"/>
          <w:caps w:val="0"/>
          <w:smallCaps w:val="0"/>
          <w:strike w:val="0"/>
          <w:color w:val="000000"/>
          <w:spacing w:val="0"/>
          <w:sz w:val="24"/>
          <w:szCs w:val="24"/>
          <w:u w:val="none"/>
          <w:lang w:val="pt-BR" w:bidi="hi-IN"/>
        </w:rPr>
      </w:pPr>
    </w:p>
    <w:p w14:paraId="64438237">
      <w:pPr>
        <w:pStyle w:val="143"/>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661F3FB0">
      <w:pPr>
        <w:rPr>
          <w:rFonts w:ascii="Times New Roman" w:hAnsi="Times New Roman" w:cs="Times New Roman"/>
          <w:b w:val="0"/>
          <w:bCs w:val="0"/>
          <w:i w:val="0"/>
          <w:caps w:val="0"/>
          <w:smallCaps w:val="0"/>
          <w:strike w:val="0"/>
          <w:color w:val="000000"/>
          <w:spacing w:val="0"/>
          <w:sz w:val="20"/>
          <w:szCs w:val="20"/>
          <w:u w:val="none"/>
          <w:lang w:val="pt-BR" w:bidi="ar-SA"/>
        </w:rPr>
      </w:pPr>
    </w:p>
    <w:p w14:paraId="181FA71A">
      <w:pPr>
        <w:rPr>
          <w:rFonts w:ascii="Times New Roman" w:hAnsi="Times New Roman" w:cs="Times New Roman"/>
          <w:b w:val="0"/>
          <w:bCs w:val="0"/>
          <w:i w:val="0"/>
          <w:caps w:val="0"/>
          <w:smallCaps w:val="0"/>
          <w:strike w:val="0"/>
          <w:color w:val="000000"/>
          <w:spacing w:val="0"/>
          <w:sz w:val="20"/>
          <w:szCs w:val="20"/>
          <w:u w:val="none"/>
          <w:lang w:val="pt-BR" w:bidi="ar-SA"/>
        </w:rPr>
      </w:pPr>
    </w:p>
    <w:p w14:paraId="017B30FE">
      <w:pPr>
        <w:rPr>
          <w:rFonts w:ascii="Times New Roman" w:hAnsi="Times New Roman" w:cs="Times New Roman"/>
          <w:b w:val="0"/>
          <w:bCs w:val="0"/>
          <w:i w:val="0"/>
          <w:caps w:val="0"/>
          <w:smallCaps w:val="0"/>
          <w:strike w:val="0"/>
          <w:color w:val="000000"/>
          <w:spacing w:val="0"/>
          <w:sz w:val="20"/>
          <w:szCs w:val="20"/>
          <w:u w:val="none"/>
          <w:lang w:val="pt-BR" w:bidi="ar-SA"/>
        </w:rPr>
      </w:pPr>
    </w:p>
    <w:p w14:paraId="3ED8054F">
      <w:pPr>
        <w:rPr>
          <w:rFonts w:ascii="Times New Roman" w:hAnsi="Times New Roman" w:cs="Times New Roman"/>
          <w:b w:val="0"/>
          <w:bCs w:val="0"/>
          <w:i w:val="0"/>
          <w:caps w:val="0"/>
          <w:smallCaps w:val="0"/>
          <w:strike w:val="0"/>
          <w:color w:val="000000"/>
          <w:spacing w:val="0"/>
          <w:sz w:val="20"/>
          <w:szCs w:val="20"/>
          <w:u w:val="none"/>
          <w:lang w:val="pt-BR" w:bidi="ar-SA"/>
        </w:rPr>
      </w:pPr>
    </w:p>
    <w:p w14:paraId="0610F6B7">
      <w:pPr>
        <w:pStyle w:val="143"/>
        <w:pBdr>
          <w:top w:val="single" w:color="000000" w:sz="4" w:space="0"/>
          <w:left w:val="single" w:color="000000" w:sz="4" w:space="0"/>
          <w:bottom w:val="single" w:color="000000" w:sz="4" w:space="0"/>
          <w:right w:val="single" w:color="000000" w:sz="4" w:space="0"/>
        </w:pBdr>
        <w:shd w:val="clear" w:color="auto" w:fill="E0E0E0"/>
        <w:tabs>
          <w:tab w:val="left" w:pos="3068"/>
          <w:tab w:val="center" w:pos="4404"/>
        </w:tabs>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I</w:t>
      </w:r>
    </w:p>
    <w:p w14:paraId="743946D8">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446BD685">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smallCaps w:val="0"/>
          <w:strike w:val="0"/>
          <w:color w:val="000000"/>
          <w:spacing w:val="0"/>
          <w:sz w:val="18"/>
          <w:szCs w:val="18"/>
          <w:u w:val="none"/>
          <w:lang w:val="pt-BR" w:bidi="ar-SA"/>
        </w:rPr>
        <w:t>Modelo de Proposta de Preços</w:t>
      </w:r>
    </w:p>
    <w:p w14:paraId="774D97B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785B4BF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C62CD6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REFERÊNCIA:Concorrência Eletrônica n° 10/2026  Licitação para </w:t>
      </w:r>
      <w:r>
        <w:rPr>
          <w:rFonts w:ascii="Book Antiqua" w:hAnsi="Book Antiqua" w:cs="Book Antiqua"/>
          <w:b/>
          <w:i w:val="0"/>
          <w:caps w:val="0"/>
          <w:smallCaps w:val="0"/>
          <w:strike w:val="0"/>
          <w:color w:val="000000"/>
          <w:spacing w:val="0"/>
          <w:sz w:val="18"/>
          <w:szCs w:val="18"/>
          <w:u w:val="none"/>
          <w:lang w:val="pt-BR" w:bidi="ar-SA"/>
        </w:rPr>
        <w:t>“CONTRATAÇÃO DE EMPRESA DE ENGENHARIA PARA IMPLANTAÇÃO DE PAVIMENTAÇÃO ASFÁLTICA EM TSD NA RODOVIA VICINAL CAMPO LIMPO”,</w:t>
      </w:r>
      <w:r>
        <w:rPr>
          <w:rFonts w:ascii="Book Antiqua" w:hAnsi="Book Antiqua" w:cs="Book Antiqua"/>
          <w:b w:val="0"/>
          <w:i w:val="0"/>
          <w:caps w:val="0"/>
          <w:smallCaps w:val="0"/>
          <w:strike w:val="0"/>
          <w:color w:val="000000"/>
          <w:spacing w:val="0"/>
          <w:sz w:val="18"/>
          <w:szCs w:val="18"/>
          <w:u w:val="none"/>
          <w:lang w:val="pt-BR" w:bidi="ar-SA"/>
        </w:rPr>
        <w:t xml:space="preserve"> a ser executada no</w:t>
      </w:r>
      <w:r>
        <w:rPr>
          <w:rFonts w:ascii="Book Antiqua" w:hAnsi="Book Antiqua" w:cs="Book Antiqua"/>
          <w:b/>
          <w:i w:val="0"/>
          <w:caps w:val="0"/>
          <w:smallCaps w:val="0"/>
          <w:strike w:val="0"/>
          <w:color w:val="000000"/>
          <w:spacing w:val="0"/>
          <w:sz w:val="18"/>
          <w:szCs w:val="18"/>
          <w:u w:val="none"/>
          <w:lang w:val="pt-BR" w:bidi="ar-SA"/>
        </w:rPr>
        <w:t xml:space="preserve"> SUBTRECHO ENTR. MT-483 COM EXTENSÃO DE 8,61 KM, NO MUNICÍPIO DE RONDONÓPOLIS – MT</w:t>
      </w:r>
      <w:r>
        <w:rPr>
          <w:rFonts w:ascii="Book Antiqua" w:hAnsi="Book Antiqua" w:cs="Book Antiqua"/>
          <w:b w:val="0"/>
          <w:i w:val="0"/>
          <w:caps w:val="0"/>
          <w:smallCaps w:val="0"/>
          <w:strike w:val="0"/>
          <w:color w:val="000000"/>
          <w:spacing w:val="0"/>
          <w:sz w:val="18"/>
          <w:szCs w:val="18"/>
          <w:u w:val="none"/>
          <w:lang w:val="pt-BR" w:bidi="ar-SA"/>
        </w:rPr>
        <w:t>.</w:t>
      </w:r>
    </w:p>
    <w:p w14:paraId="794E022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Prezados Senhores:</w:t>
      </w:r>
    </w:p>
    <w:p w14:paraId="497CFD24">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A5864E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Nosso preço global para o fornecimento de material e execução das obras/serviços para a Construção acima mencionada é de R$ _________________</w:t>
      </w:r>
      <w:r>
        <w:rPr>
          <w:rFonts w:ascii="Book Antiqua" w:hAnsi="Book Antiqua" w:cs="Book Antiqua"/>
          <w:b w:val="0"/>
          <w:i w:val="0"/>
          <w:caps w:val="0"/>
          <w:smallCaps w:val="0"/>
          <w:strike w:val="0"/>
          <w:color w:val="000000"/>
          <w:spacing w:val="0"/>
          <w:sz w:val="18"/>
          <w:szCs w:val="18"/>
          <w:u w:val="single"/>
          <w:lang w:val="pt-BR" w:bidi="ar-SA"/>
        </w:rPr>
        <w:t>(</w:t>
      </w:r>
      <w:r>
        <w:rPr>
          <w:rFonts w:ascii="Book Antiqua" w:hAnsi="Book Antiqua" w:cs="Book Antiqua"/>
          <w:b w:val="0"/>
          <w:i w:val="0"/>
          <w:caps w:val="0"/>
          <w:smallCaps w:val="0"/>
          <w:strike w:val="0"/>
          <w:color w:val="000000"/>
          <w:spacing w:val="0"/>
          <w:sz w:val="18"/>
          <w:szCs w:val="18"/>
          <w:u w:val="none"/>
          <w:lang w:val="pt-BR" w:bidi="ar-SA"/>
        </w:rPr>
        <w:t>________________________________________________________) e será executada inteiramente de acordo com o Estudo Técnico Preliminar-ETP, Projeto Básico disponibilizado pela Prefeitura Municipal de Rondonópolis/MT.</w:t>
      </w:r>
    </w:p>
    <w:p w14:paraId="2F7DE1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89FFF5C">
      <w:pPr>
        <w:pStyle w:val="170"/>
        <w:spacing w:before="0" w:after="0" w:line="276" w:lineRule="auto"/>
        <w:rPr>
          <w:rFonts w:ascii="Arial" w:hAnsi="Arial" w:cs="Arial"/>
          <w:b/>
          <w:i/>
          <w:caps w:val="0"/>
          <w:smallCaps w:val="0"/>
          <w:strike w:val="0"/>
          <w:color w:val="000000"/>
          <w:spacing w:val="0"/>
          <w:sz w:val="28"/>
          <w:szCs w:val="28"/>
          <w:u w:val="none"/>
          <w:lang w:val="pt-BR" w:bidi="ar-SA"/>
        </w:rPr>
      </w:pPr>
      <w:r>
        <w:rPr>
          <w:rFonts w:ascii="Book Antiqua" w:hAnsi="Book Antiqua" w:cs="Book Antiqua"/>
          <w:b/>
          <w:i/>
          <w:caps w:val="0"/>
          <w:smallCaps w:val="0"/>
          <w:strike w:val="0"/>
          <w:color w:val="000000"/>
          <w:spacing w:val="0"/>
          <w:sz w:val="18"/>
          <w:szCs w:val="18"/>
          <w:u w:val="none"/>
          <w:lang w:val="pt-BR" w:bidi="ar-SA"/>
        </w:rPr>
        <w:t>DECLARAÇÕES</w:t>
      </w:r>
    </w:p>
    <w:p w14:paraId="0AB9494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1D641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 Declaramos que o preço global por nós ofertado será para executar a obra/serviço conforme todas as exigências do Estudo Tecnico Preliminar-ETP, Projeto Básico disponibilizado e descrito no item 1.1 deste Edital.</w:t>
      </w:r>
    </w:p>
    <w:p w14:paraId="0549187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2. Declaramos que entregaremos a obra/serviço dentro do prazo de ____(__________) meses, conforme estipulado em edital.</w:t>
      </w:r>
    </w:p>
    <w:p w14:paraId="67FBA6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3. Declaramos que estamos de acordo com os itens referentes ao cronograma-físico financeiro, prazos, medições e pagamentos parciais.</w:t>
      </w:r>
    </w:p>
    <w:p w14:paraId="43B1F4A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 Declaração de que no preço proposto para a execução dos serviços, de acordo com os projetos e especificações que fazem parte integrante deste Edital, já estão inclusas todas e quaisquer despesas com materiais, equipamentos e ferramentas, mão-de-obra, encargos trabalhistas, encargos sociais, taxas devidas a órgãos públicos, emolumentos, enfim, quaisquer despesas necessárias para a realização dos serviços, inclusive o BDI/LDI.</w:t>
      </w:r>
    </w:p>
    <w:p w14:paraId="3331CB8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 Declaramos que o prazo de validade para a nossa proposta é de 60 (sessenta) dias.</w:t>
      </w:r>
    </w:p>
    <w:p w14:paraId="6DBBAF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 Foram utilizados em nosso orçamento a Taxa de BDI de XX,XX%, Encargos Sociais de XXX,XX%. O Regime Tributário a que estamos sujeitos é o de XX.</w:t>
      </w:r>
    </w:p>
    <w:p w14:paraId="0BC59791">
      <w:pPr>
        <w:pStyle w:val="143"/>
        <w:numPr>
          <w:ilvl w:val="0"/>
          <w:numId w:val="6"/>
        </w:numPr>
        <w:tabs>
          <w:tab w:val="left" w:pos="566"/>
        </w:tabs>
        <w:spacing w:line="276" w:lineRule="auto"/>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 proposta deverá conter: Prazo de entrega dos serviços; Prazo de validade da proposta. Valor Global da proposta; Planilha Orçamentária com preços unitários e totais por item; Composição de Custo Unitário dos serviços que compõem a planilha (Composição de Custo Unitário), Composição dos Encargos Sociais.</w:t>
      </w:r>
    </w:p>
    <w:p w14:paraId="36BAAF9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 Informar os dados bancário</w:t>
      </w:r>
    </w:p>
    <w:p w14:paraId="00488C4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Banco: ____________________, nº do Banco: _______ Agência: ____________ nº Conta: ______________</w:t>
      </w:r>
    </w:p>
    <w:p w14:paraId="3F803C83">
      <w:pPr>
        <w:pStyle w:val="143"/>
        <w:spacing w:line="276" w:lineRule="auto"/>
        <w:ind w:left="0" w:right="0" w:firstLine="1694"/>
        <w:jc w:val="both"/>
        <w:rPr>
          <w:rFonts w:ascii="Times New Roman" w:hAnsi="Times New Roman" w:cs="Times New Roman"/>
          <w:b w:val="0"/>
          <w:i w:val="0"/>
          <w:caps w:val="0"/>
          <w:smallCaps w:val="0"/>
          <w:strike w:val="0"/>
          <w:color w:val="000000"/>
          <w:spacing w:val="0"/>
          <w:sz w:val="20"/>
          <w:szCs w:val="20"/>
          <w:u w:val="none"/>
          <w:lang w:val="pt-BR" w:bidi="ar-SA"/>
        </w:rPr>
      </w:pPr>
    </w:p>
    <w:p w14:paraId="3FF70783">
      <w:pPr>
        <w:pStyle w:val="143"/>
        <w:spacing w:line="276" w:lineRule="auto"/>
        <w:ind w:left="0" w:right="0" w:firstLine="1694"/>
        <w:jc w:val="both"/>
        <w:rPr>
          <w:rFonts w:ascii="Times New Roman" w:hAnsi="Times New Roman" w:cs="Times New Roman"/>
          <w:b w:val="0"/>
          <w:i w:val="0"/>
          <w:caps w:val="0"/>
          <w:smallCaps w:val="0"/>
          <w:strike w:val="0"/>
          <w:color w:val="000000"/>
          <w:spacing w:val="0"/>
          <w:sz w:val="20"/>
          <w:szCs w:val="20"/>
          <w:u w:val="none"/>
          <w:lang w:val="pt-BR" w:bidi="ar-SA"/>
        </w:rPr>
      </w:pPr>
    </w:p>
    <w:p w14:paraId="543901C5">
      <w:pPr>
        <w:pStyle w:val="143"/>
        <w:spacing w:line="276" w:lineRule="auto"/>
        <w:ind w:left="0" w:right="0" w:firstLine="1694"/>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À elevada consideração de V. S.as.</w:t>
      </w:r>
    </w:p>
    <w:p w14:paraId="7799C966">
      <w:pPr>
        <w:pStyle w:val="143"/>
        <w:tabs>
          <w:tab w:val="right" w:pos="5759"/>
        </w:tabs>
        <w:spacing w:line="276" w:lineRule="auto"/>
        <w:ind w:left="0" w:right="0" w:firstLine="1694"/>
        <w:jc w:val="center"/>
        <w:rPr>
          <w:rFonts w:ascii="Times New Roman" w:hAnsi="Times New Roman" w:cs="Times New Roman"/>
          <w:b w:val="0"/>
          <w:i w:val="0"/>
          <w:caps w:val="0"/>
          <w:smallCaps w:val="0"/>
          <w:strike w:val="0"/>
          <w:color w:val="000000"/>
          <w:spacing w:val="0"/>
          <w:sz w:val="20"/>
          <w:szCs w:val="20"/>
          <w:u w:val="none"/>
          <w:lang w:val="pt-BR" w:bidi="ar-SA"/>
        </w:rPr>
      </w:pPr>
    </w:p>
    <w:p w14:paraId="32F115D3">
      <w:pPr>
        <w:pStyle w:val="143"/>
        <w:tabs>
          <w:tab w:val="right" w:pos="5759"/>
        </w:tabs>
        <w:spacing w:line="276" w:lineRule="auto"/>
        <w:ind w:left="0" w:right="0" w:firstLine="1694"/>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_________________________</w:t>
      </w:r>
    </w:p>
    <w:p w14:paraId="1A282501">
      <w:pPr>
        <w:pStyle w:val="143"/>
        <w:spacing w:line="276" w:lineRule="auto"/>
        <w:ind w:left="0" w:right="576" w:firstLine="4529"/>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Responsável pela Firma</w:t>
      </w:r>
    </w:p>
    <w:p w14:paraId="75F4674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FB77EB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E4474DF">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ABE5749">
      <w:pPr>
        <w:rPr>
          <w:rFonts w:ascii="Times New Roman" w:hAnsi="Times New Roman" w:cs="Times New Roman"/>
          <w:b w:val="0"/>
          <w:bCs w:val="0"/>
          <w:i w:val="0"/>
          <w:caps w:val="0"/>
          <w:smallCaps w:val="0"/>
          <w:strike w:val="0"/>
          <w:color w:val="000000"/>
          <w:spacing w:val="0"/>
          <w:sz w:val="20"/>
          <w:szCs w:val="20"/>
          <w:u w:val="none"/>
          <w:lang w:val="pt-BR" w:bidi="ar-SA"/>
        </w:rPr>
      </w:pPr>
    </w:p>
    <w:p w14:paraId="779A7071">
      <w:pPr>
        <w:rPr>
          <w:rFonts w:ascii="Book Antiqua" w:hAnsi="Book Antiqua" w:cs="Book Antiqua"/>
          <w:b/>
          <w:i w:val="0"/>
          <w:caps w:val="0"/>
          <w:smallCaps w:val="0"/>
          <w:strike w:val="0"/>
          <w:color w:val="000000"/>
          <w:spacing w:val="0"/>
          <w:sz w:val="18"/>
          <w:szCs w:val="18"/>
          <w:u w:val="none"/>
          <w:lang w:val="pt-BR" w:bidi="ar-SA"/>
        </w:rPr>
      </w:pPr>
      <w:r>
        <w:rPr>
          <w:rFonts w:ascii="Book Antiqua" w:hAnsi="Book Antiqua" w:cs="Book Antiqua"/>
          <w:b/>
          <w:i w:val="0"/>
          <w:caps w:val="0"/>
          <w:smallCaps w:val="0"/>
          <w:strike w:val="0"/>
          <w:color w:val="000000"/>
          <w:spacing w:val="0"/>
          <w:sz w:val="18"/>
          <w:szCs w:val="18"/>
          <w:u w:val="none"/>
          <w:lang w:val="pt-BR" w:bidi="ar-SA"/>
        </w:rPr>
        <w:br w:type="page"/>
      </w:r>
    </w:p>
    <w:p w14:paraId="2066B48F">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II</w:t>
      </w:r>
    </w:p>
    <w:p w14:paraId="4829DF8A">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0C520884">
      <w:pPr>
        <w:pStyle w:val="170"/>
        <w:spacing w:before="0" w:after="0" w:line="276" w:lineRule="auto"/>
        <w:jc w:val="center"/>
        <w:rPr>
          <w:rFonts w:ascii="Arial" w:hAnsi="Arial" w:cs="Arial"/>
          <w:b/>
          <w:i/>
          <w:caps w:val="0"/>
          <w:smallCaps w:val="0"/>
          <w:strike w:val="0"/>
          <w:color w:val="000000"/>
          <w:spacing w:val="0"/>
          <w:sz w:val="28"/>
          <w:szCs w:val="2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DECLARAÇÃO DE NÃO EMPREGAR MENOR</w:t>
      </w:r>
    </w:p>
    <w:p w14:paraId="6E4D3699">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(MODELO)</w:t>
      </w:r>
    </w:p>
    <w:p w14:paraId="0FEF3E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901FFE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da Empresa)</w:t>
      </w:r>
    </w:p>
    <w:p w14:paraId="2DBB8F5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p w14:paraId="262197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inscrito no CNPJ nº .................................................................., por intermédio de seu representante legal o(a) Sr(a) ..................................... ..........................., portador(a) da Carteira de Identidade n° ................................. e do CPF Nº ..........................................., DECLARA, para fins do disposto no inciso VI do art. 68 da Lei nº 14.133, que não emprega menor de dezoito anos em trabalho noturno, perigoso ou insalubre e não emprega menor de dezesseis anos.</w:t>
      </w:r>
    </w:p>
    <w:p w14:paraId="7DFD89B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D4A8A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C8A6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Ressalva: emprega menor, a partir de quatorze anos, na condição de aprendiz.</w:t>
      </w:r>
    </w:p>
    <w:p w14:paraId="36558AB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6C51B4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p w14:paraId="2522C3F3">
      <w:pPr>
        <w:pStyle w:val="190"/>
        <w:spacing w:line="276" w:lineRule="auto"/>
        <w:jc w:val="center"/>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Local e data.</w:t>
      </w:r>
    </w:p>
    <w:p w14:paraId="03CF399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p w14:paraId="5F1BAB0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(identificação e assinatura do representante legal)</w:t>
      </w:r>
    </w:p>
    <w:p w14:paraId="6144C09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C0048F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34B5C3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09F1585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4AF5041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2637819">
      <w:pPr>
        <w:rPr>
          <w:rFonts w:ascii="Times New Roman" w:hAnsi="Times New Roman" w:cs="Times New Roman"/>
          <w:b w:val="0"/>
          <w:bCs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5F47DF52">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III</w:t>
      </w:r>
    </w:p>
    <w:p w14:paraId="4DFEB6C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98D79FC">
      <w:pPr>
        <w:pStyle w:val="146"/>
        <w:spacing w:line="276" w:lineRule="auto"/>
        <w:jc w:val="center"/>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DECLARAÇÃO DE INEXISTÊNCIA DE FATOS IMPEDITIVOS À HABILITAÇÃO</w:t>
      </w:r>
    </w:p>
    <w:p w14:paraId="210B835C">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(MODELO)</w:t>
      </w:r>
    </w:p>
    <w:p w14:paraId="0F471FA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E75FCF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da Empresa)</w:t>
      </w:r>
    </w:p>
    <w:p w14:paraId="2213AB3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CNPJ nº .............................................., sediada em ........................................................, DECLARA, sob as penas da lei, que até a presente data, inexistem fatos impeditivos para sua habilitação no presente processo licitatório, ciente da obrigatoriedade de declarar ocorrências posteriores.</w:t>
      </w:r>
    </w:p>
    <w:p w14:paraId="1B719CE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B63D86C">
      <w:pPr>
        <w:pStyle w:val="143"/>
        <w:spacing w:line="276" w:lineRule="auto"/>
        <w:jc w:val="right"/>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(local),. ....... de ............................. de 20__.</w:t>
      </w:r>
    </w:p>
    <w:p w14:paraId="37DE151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p w14:paraId="36BBB4C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completo e assinatura do declarante</w:t>
      </w:r>
    </w:p>
    <w:p w14:paraId="2F90C8B8">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CPF e RG</w:t>
      </w:r>
    </w:p>
    <w:p w14:paraId="43E437B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3B8D41A9">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06843BB">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2D4AFCD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22F779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18B6B820">
      <w:pPr>
        <w:rPr>
          <w:rFonts w:ascii="Times New Roman" w:hAnsi="Times New Roman" w:cs="Times New Roman"/>
          <w:b w:val="0"/>
          <w:bCs w:val="0"/>
          <w:i w:val="0"/>
          <w:caps w:val="0"/>
          <w:smallCaps w:val="0"/>
          <w:strike w:val="0"/>
          <w:color w:val="000000"/>
          <w:spacing w:val="0"/>
          <w:sz w:val="24"/>
          <w:szCs w:val="24"/>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74D49EDE">
      <w:pPr>
        <w:pStyle w:val="191"/>
        <w:pBdr>
          <w:top w:val="single" w:color="000000" w:sz="4" w:space="0"/>
          <w:left w:val="single" w:color="000000" w:sz="4" w:space="0"/>
          <w:bottom w:val="single" w:color="000000" w:sz="4" w:space="0"/>
          <w:right w:val="single" w:color="000000" w:sz="4" w:space="0"/>
        </w:pBdr>
        <w:shd w:val="clear" w:color="auto" w:fill="E0E0E0"/>
        <w:tabs>
          <w:tab w:val="left" w:pos="566"/>
          <w:tab w:val="left" w:pos="4396"/>
        </w:tabs>
        <w:spacing w:line="276" w:lineRule="auto"/>
        <w:ind w:left="0" w:right="0" w:firstLine="0"/>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IV</w:t>
      </w:r>
    </w:p>
    <w:p w14:paraId="32E044C4">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694F8F7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DECLARAÇÃO DE VISITA</w:t>
      </w:r>
    </w:p>
    <w:p w14:paraId="7D31151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30BB0C5C">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PROCESSO LICITATÓRIO</w:t>
      </w:r>
      <w:r>
        <w:rPr>
          <w:rFonts w:ascii="Book Antiqua" w:hAnsi="Book Antiqua" w:cs="Book Antiqua"/>
          <w:b/>
          <w:i w:val="0"/>
          <w:caps w:val="0"/>
          <w:smallCaps w:val="0"/>
          <w:strike w:val="0"/>
          <w:color w:val="000000"/>
          <w:spacing w:val="0"/>
          <w:sz w:val="18"/>
          <w:szCs w:val="18"/>
          <w:u w:val="none"/>
          <w:lang w:val="pt-BR" w:bidi="ar-SA"/>
        </w:rPr>
        <w:t xml:space="preserve"> – “</w:t>
      </w:r>
      <w:r>
        <w:rPr>
          <w:rFonts w:ascii="Book Antiqua" w:hAnsi="Book Antiqua" w:cs="Book Antiqua"/>
          <w:b/>
          <w:i w:val="0"/>
          <w:caps w:val="0"/>
          <w:smallCaps w:val="0"/>
          <w:strike w:val="0"/>
          <w:color w:val="000000"/>
          <w:spacing w:val="0"/>
          <w:sz w:val="18"/>
          <w:szCs w:val="18"/>
          <w:u w:val="single"/>
          <w:lang w:val="pt-BR" w:bidi="ar-SA"/>
        </w:rPr>
        <w:t xml:space="preserve">CONCORRÊNCIA ELETRÔNICA </w:t>
      </w:r>
      <w:r>
        <w:rPr>
          <w:rFonts w:ascii="Book Antiqua" w:hAnsi="Book Antiqua" w:cs="Book Antiqua"/>
          <w:b/>
          <w:i w:val="0"/>
          <w:caps w:val="0"/>
          <w:smallCaps w:val="0"/>
          <w:strike w:val="0"/>
          <w:color w:val="000000"/>
          <w:spacing w:val="0"/>
          <w:sz w:val="18"/>
          <w:szCs w:val="18"/>
          <w:u w:val="none"/>
          <w:lang w:val="pt-BR" w:bidi="ar-SA"/>
        </w:rPr>
        <w:t>Nº</w:t>
      </w:r>
      <w:r>
        <w:rPr>
          <w:rFonts w:ascii="Book Antiqua" w:hAnsi="Book Antiqua" w:cs="Book Antiqua"/>
          <w:b/>
          <w:i w:val="0"/>
          <w:caps w:val="0"/>
          <w:smallCaps w:val="0"/>
          <w:strike w:val="0"/>
          <w:color w:val="000000"/>
          <w:spacing w:val="0"/>
          <w:sz w:val="18"/>
          <w:szCs w:val="18"/>
          <w:u w:val="single"/>
          <w:lang w:val="pt-BR" w:bidi="ar-SA"/>
        </w:rPr>
        <w:t>. 10/2026</w:t>
      </w:r>
      <w:r>
        <w:rPr>
          <w:rFonts w:ascii="Book Antiqua" w:hAnsi="Book Antiqua" w:cs="Book Antiqua"/>
          <w:b/>
          <w:i w:val="0"/>
          <w:caps w:val="0"/>
          <w:smallCaps w:val="0"/>
          <w:strike w:val="0"/>
          <w:color w:val="000000"/>
          <w:spacing w:val="0"/>
          <w:sz w:val="18"/>
          <w:szCs w:val="18"/>
          <w:u w:val="none"/>
          <w:lang w:val="pt-BR" w:bidi="ar-SA"/>
        </w:rPr>
        <w:t>.”.</w:t>
      </w:r>
    </w:p>
    <w:p w14:paraId="7710B839">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4B992C4E">
      <w:pPr>
        <w:pStyle w:val="186"/>
        <w:spacing w:line="276" w:lineRule="auto"/>
        <w:ind w:left="0" w:right="0" w:firstLine="0"/>
        <w:jc w:val="center"/>
        <w:rPr>
          <w:rFonts w:ascii="Times New Roman" w:hAnsi="Times New Roman" w:cs="Times New Roman"/>
          <w:b w:val="0"/>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single"/>
          <w:lang w:val="pt-BR" w:bidi="ar-SA"/>
        </w:rPr>
        <w:t>OBJETO:</w:t>
      </w:r>
      <w:r>
        <w:rPr>
          <w:rFonts w:ascii="Book Antiqua" w:hAnsi="Book Antiqua" w:cs="Book Antiqua"/>
          <w:b w:val="0"/>
          <w:i w:val="0"/>
          <w:caps w:val="0"/>
          <w:smallCaps w:val="0"/>
          <w:strike w:val="0"/>
          <w:color w:val="000000"/>
          <w:spacing w:val="0"/>
          <w:sz w:val="18"/>
          <w:szCs w:val="18"/>
          <w:u w:val="single"/>
          <w:lang w:val="pt-BR" w:bidi="ar-SA"/>
        </w:rPr>
        <w:t xml:space="preserve"> </w:t>
      </w:r>
      <w:r>
        <w:rPr>
          <w:rFonts w:ascii="Book Antiqua" w:hAnsi="Book Antiqua" w:cs="Book Antiqua"/>
          <w:b/>
          <w:i w:val="0"/>
          <w:caps w:val="0"/>
          <w:smallCaps w:val="0"/>
          <w:strike w:val="0"/>
          <w:color w:val="000000"/>
          <w:spacing w:val="0"/>
          <w:sz w:val="18"/>
          <w:szCs w:val="18"/>
          <w:u w:val="none"/>
          <w:lang w:val="pt-BR" w:bidi="ar-SA"/>
        </w:rPr>
        <w:t>“CONTRATAÇÃO DE EMPRESA DE ENGENHARIA PARA IMPLANTAÇÃO DE PAVIMENTAÇÃO ASFÁLTICA EM TSD NA RODOVIA VICINAL CAMPO LIMPO”,</w:t>
      </w:r>
      <w:r>
        <w:rPr>
          <w:rFonts w:ascii="Book Antiqua" w:hAnsi="Book Antiqua" w:cs="Book Antiqua"/>
          <w:b w:val="0"/>
          <w:i w:val="0"/>
          <w:caps w:val="0"/>
          <w:smallCaps w:val="0"/>
          <w:strike w:val="0"/>
          <w:color w:val="000000"/>
          <w:spacing w:val="0"/>
          <w:sz w:val="18"/>
          <w:szCs w:val="18"/>
          <w:u w:val="none"/>
          <w:lang w:val="pt-BR" w:bidi="ar-SA"/>
        </w:rPr>
        <w:t xml:space="preserve"> a ser executada no</w:t>
      </w:r>
      <w:r>
        <w:rPr>
          <w:rFonts w:ascii="Book Antiqua" w:hAnsi="Book Antiqua" w:cs="Book Antiqua"/>
          <w:b/>
          <w:i w:val="0"/>
          <w:caps w:val="0"/>
          <w:smallCaps w:val="0"/>
          <w:strike w:val="0"/>
          <w:color w:val="000000"/>
          <w:spacing w:val="0"/>
          <w:sz w:val="18"/>
          <w:szCs w:val="18"/>
          <w:u w:val="none"/>
          <w:lang w:val="pt-BR" w:bidi="ar-SA"/>
        </w:rPr>
        <w:t xml:space="preserve"> SUBTRECHO ENTR. MT-483 COM EXTENSÃO DE 8,61 KM, NO MUNICÍPIO DE RONDONÓPOLIS – MT</w:t>
      </w:r>
      <w:r>
        <w:rPr>
          <w:rFonts w:ascii="Book Antiqua" w:hAnsi="Book Antiqua" w:cs="Book Antiqua"/>
          <w:b w:val="0"/>
          <w:i w:val="0"/>
          <w:caps w:val="0"/>
          <w:smallCaps w:val="0"/>
          <w:strike w:val="0"/>
          <w:color w:val="000000"/>
          <w:spacing w:val="0"/>
          <w:sz w:val="18"/>
          <w:szCs w:val="18"/>
          <w:u w:val="none"/>
          <w:lang w:val="pt-BR" w:bidi="ar-SA"/>
        </w:rPr>
        <w:t>.</w:t>
      </w:r>
    </w:p>
    <w:p w14:paraId="190C55BB">
      <w:pPr>
        <w:pStyle w:val="186"/>
        <w:spacing w:line="276" w:lineRule="auto"/>
        <w:ind w:left="0" w:right="0" w:firstLine="0"/>
        <w:jc w:val="center"/>
        <w:rPr>
          <w:rFonts w:ascii="Times New Roman" w:hAnsi="Times New Roman" w:cs="Times New Roman"/>
          <w:b w:val="0"/>
          <w:i w:val="0"/>
          <w:caps w:val="0"/>
          <w:smallCaps w:val="0"/>
          <w:strike w:val="0"/>
          <w:color w:val="000000"/>
          <w:spacing w:val="0"/>
          <w:sz w:val="24"/>
          <w:szCs w:val="20"/>
          <w:u w:val="none"/>
          <w:lang w:val="pt-BR" w:bidi="ar-SA"/>
        </w:rPr>
      </w:pPr>
    </w:p>
    <w:p w14:paraId="061A7666">
      <w:pPr>
        <w:pStyle w:val="146"/>
        <w:spacing w:line="276" w:lineRule="auto"/>
        <w:ind w:left="0" w:right="0" w:firstLine="2261"/>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(nome da empresa), representada por (responsável técnico da empresa), ____________________________________, portador da CI/RG nº__________________________, do CPF Nº ____________________________, e do CREA nº ______________, declara que vistoriou e conhece a área geográfica onde serão executados os objetos da presente licitação.</w:t>
      </w:r>
    </w:p>
    <w:p w14:paraId="08DB7957">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xml:space="preserve"> </w:t>
      </w:r>
    </w:p>
    <w:p w14:paraId="0CE2674A">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Rondonópolis-MT, ____ de ________________ de 20__.</w:t>
      </w:r>
    </w:p>
    <w:p w14:paraId="06EFFEEB">
      <w:pPr>
        <w:pStyle w:val="146"/>
        <w:spacing w:line="276" w:lineRule="auto"/>
        <w:rPr>
          <w:rFonts w:ascii="Arial" w:hAnsi="Arial" w:cs="Arial"/>
          <w:b/>
          <w:i w:val="0"/>
          <w:caps w:val="0"/>
          <w:smallCaps w:val="0"/>
          <w:strike w:val="0"/>
          <w:color w:val="000000"/>
          <w:spacing w:val="0"/>
          <w:sz w:val="24"/>
          <w:szCs w:val="20"/>
          <w:u w:val="none"/>
          <w:lang w:val="pt-BR" w:bidi="ar-SA"/>
        </w:rPr>
      </w:pPr>
    </w:p>
    <w:p w14:paraId="7C6D9277">
      <w:pPr>
        <w:pStyle w:val="146"/>
        <w:spacing w:line="276" w:lineRule="auto"/>
        <w:jc w:val="center"/>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_____________________________________________</w:t>
      </w:r>
    </w:p>
    <w:p w14:paraId="5896678E">
      <w:pPr>
        <w:pStyle w:val="146"/>
        <w:spacing w:line="276" w:lineRule="auto"/>
        <w:jc w:val="center"/>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Assinatura do Responsável Técnico do Serviço</w:t>
      </w:r>
    </w:p>
    <w:p w14:paraId="4F5EACF3">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Ciente: ____________________________</w:t>
      </w:r>
    </w:p>
    <w:p w14:paraId="75BACFD9">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xml:space="preserve">              (responsável legal da empresa)</w:t>
      </w:r>
    </w:p>
    <w:p w14:paraId="1E556832">
      <w:pPr>
        <w:pStyle w:val="146"/>
        <w:spacing w:line="276" w:lineRule="auto"/>
        <w:rPr>
          <w:rFonts w:ascii="Arial" w:hAnsi="Arial" w:cs="Arial"/>
          <w:b/>
          <w:i w:val="0"/>
          <w:caps w:val="0"/>
          <w:smallCaps w:val="0"/>
          <w:strike w:val="0"/>
          <w:color w:val="000000"/>
          <w:spacing w:val="0"/>
          <w:sz w:val="24"/>
          <w:szCs w:val="20"/>
          <w:u w:val="none"/>
          <w:lang w:val="pt-BR" w:bidi="ar-SA"/>
        </w:rPr>
      </w:pPr>
    </w:p>
    <w:p w14:paraId="24D9F584">
      <w:pPr>
        <w:pStyle w:val="146"/>
        <w:spacing w:line="276" w:lineRule="auto"/>
        <w:rPr>
          <w:rFonts w:ascii="Arial" w:hAnsi="Arial" w:cs="Arial"/>
          <w:b/>
          <w:i w:val="0"/>
          <w:caps w:val="0"/>
          <w:smallCaps w:val="0"/>
          <w:strike w:val="0"/>
          <w:color w:val="000000"/>
          <w:spacing w:val="0"/>
          <w:sz w:val="24"/>
          <w:szCs w:val="20"/>
          <w:u w:val="none"/>
          <w:lang w:val="pt-BR" w:bidi="ar-SA"/>
        </w:rPr>
      </w:pPr>
    </w:p>
    <w:p w14:paraId="0E771212">
      <w:pPr>
        <w:pStyle w:val="146"/>
        <w:spacing w:line="276" w:lineRule="auto"/>
        <w:rPr>
          <w:rFonts w:ascii="Arial" w:hAnsi="Arial" w:cs="Arial"/>
          <w:b/>
          <w:i w:val="0"/>
          <w:caps w:val="0"/>
          <w:smallCaps w:val="0"/>
          <w:strike w:val="0"/>
          <w:color w:val="000000"/>
          <w:spacing w:val="0"/>
          <w:sz w:val="24"/>
          <w:szCs w:val="20"/>
          <w:u w:val="none"/>
          <w:lang w:val="pt-BR" w:bidi="ar-SA"/>
        </w:rPr>
      </w:pPr>
    </w:p>
    <w:p w14:paraId="42181251">
      <w:pPr>
        <w:pStyle w:val="146"/>
        <w:spacing w:line="276" w:lineRule="auto"/>
        <w:rPr>
          <w:rFonts w:ascii="Arial" w:hAnsi="Arial" w:cs="Arial"/>
          <w:b/>
          <w:i w:val="0"/>
          <w:caps w:val="0"/>
          <w:smallCaps w:val="0"/>
          <w:strike w:val="0"/>
          <w:color w:val="000000"/>
          <w:spacing w:val="0"/>
          <w:sz w:val="24"/>
          <w:szCs w:val="20"/>
          <w:u w:val="none"/>
          <w:lang w:val="pt-BR" w:bidi="ar-SA"/>
        </w:rPr>
      </w:pPr>
    </w:p>
    <w:p w14:paraId="3B024B72">
      <w:pPr>
        <w:pStyle w:val="146"/>
        <w:spacing w:line="276" w:lineRule="auto"/>
        <w:rPr>
          <w:rFonts w:ascii="Arial" w:hAnsi="Arial" w:cs="Arial"/>
          <w:b/>
          <w:i w:val="0"/>
          <w:caps w:val="0"/>
          <w:smallCaps w:val="0"/>
          <w:strike w:val="0"/>
          <w:color w:val="000000"/>
          <w:spacing w:val="0"/>
          <w:sz w:val="24"/>
          <w:szCs w:val="20"/>
          <w:u w:val="none"/>
          <w:lang w:val="pt-BR" w:bidi="ar-SA"/>
        </w:rPr>
      </w:pPr>
    </w:p>
    <w:p w14:paraId="27E46F5A">
      <w:pPr>
        <w:rPr>
          <w:rFonts w:ascii="Times New Roman" w:hAnsi="Times New Roman" w:cs="Times New Roman"/>
          <w:b/>
          <w:bCs w:val="0"/>
          <w:i w:val="0"/>
          <w:caps w:val="0"/>
          <w:smallCaps w:val="0"/>
          <w:strike w:val="0"/>
          <w:color w:val="000000"/>
          <w:spacing w:val="0"/>
          <w:sz w:val="22"/>
          <w:szCs w:val="22"/>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6D9370B8">
      <w:pPr>
        <w:pStyle w:val="185"/>
        <w:pBdr>
          <w:top w:val="single" w:color="000000" w:sz="4" w:space="0"/>
          <w:left w:val="single" w:color="000000" w:sz="4" w:space="0"/>
          <w:bottom w:val="single" w:color="000000" w:sz="4" w:space="0"/>
          <w:right w:val="single" w:color="000000" w:sz="4" w:space="0"/>
        </w:pBdr>
        <w:shd w:val="clear" w:color="auto" w:fill="E0E0E0"/>
        <w:spacing w:line="276" w:lineRule="auto"/>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V</w:t>
      </w:r>
    </w:p>
    <w:p w14:paraId="69CEF50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63DABD4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DECLARAÇÃO DE INEXISTÊNCIA NO QUADRO DE DIRIGENTES DA</w:t>
      </w:r>
    </w:p>
    <w:p w14:paraId="3FFD0258">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ENTIDADE, DE SERVIDORES COM VÍNCULOS NO PODER PÚBLICO</w:t>
      </w:r>
    </w:p>
    <w:p w14:paraId="00557B0C">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xml:space="preserve"> (MODELO)</w:t>
      </w:r>
    </w:p>
    <w:p w14:paraId="0E7E13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BD43FD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da Empresa)................................................CNPJ nº ...................................., sediada em ................................, DECLARA, sob as penas da lei, que até a presente data, para os fins a quem possa interessar que não possui em seu quadro de dirigentes: membro dos Poderes Executivo, Legislativo, Judiciário, do Ministério Público, do Tribunal de Contas do Estado, bem como seus respectivos cônjuges, companheiros, e parentes em linha reta, colateral ou por afinidade até o 2º grau.</w:t>
      </w:r>
    </w:p>
    <w:p w14:paraId="45F82AAF">
      <w:pPr>
        <w:pStyle w:val="143"/>
        <w:spacing w:line="276" w:lineRule="auto"/>
        <w:jc w:val="right"/>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(local),. ....... de ............................. de 20__.</w:t>
      </w:r>
    </w:p>
    <w:p w14:paraId="4F1BF63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Nome completo e assinatura do declarante</w:t>
      </w:r>
    </w:p>
    <w:p w14:paraId="2B3F5DD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CPF e RG</w:t>
      </w:r>
    </w:p>
    <w:p w14:paraId="1A5B616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228AC795">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3255EB3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285F92EC">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49857EB">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28411B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14575DB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p w14:paraId="7C2CC286">
      <w:pPr>
        <w:rPr>
          <w:rFonts w:ascii="Times New Roman" w:hAnsi="Times New Roman" w:cs="Times New Roman"/>
          <w:b w:val="0"/>
          <w:bCs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6AAE7BB9">
      <w:pPr>
        <w:pStyle w:val="143"/>
        <w:pBdr>
          <w:top w:val="single" w:color="000000" w:sz="4" w:space="0"/>
          <w:left w:val="single" w:color="000000" w:sz="4" w:space="0"/>
          <w:bottom w:val="single" w:color="000000" w:sz="4" w:space="0"/>
          <w:right w:val="single" w:color="000000" w:sz="4" w:space="0"/>
        </w:pBdr>
        <w:shd w:val="clear" w:color="auto" w:fill="E0E0E0"/>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VI</w:t>
      </w:r>
    </w:p>
    <w:p w14:paraId="1B6D8A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Local, data.</w:t>
      </w:r>
    </w:p>
    <w:p w14:paraId="2725870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DECLARAÇÃO DE MICROEMPRESA OU EMPRESA DE PEQUENO PORTE</w:t>
      </w:r>
    </w:p>
    <w:p w14:paraId="38BDA54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DECLARO, sob as penas da lei, sem prejuízo das sanções e multas previstas neste ato convocatório, que a empresa ___________________________________(Razão Social), portadora do CNPJ sob nº ________________________, é ( )* Microempresa (ME) ou ( )* Empresa de Pequeno Porte (EPP), nos termos do enquadramento previsto na Lei Complementar nº 123, de 14 de dezembro de 2006, cujos termos declaro conhecer na íntegra, estando apta, portanto, a exercer os direitos referentes a apresentação de documentação de regularidade fiscal na CONCORRÊNCIA ELETRÔNICA  nº ____, realizado pela Prefeitura Municipal de Rondonópolis.</w:t>
      </w:r>
    </w:p>
    <w:p w14:paraId="70F838CF">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(ASSINATURA)                           (incluir a assinatura e carimbo do contador )</w:t>
      </w:r>
    </w:p>
    <w:p w14:paraId="44F8651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NOME COMPLETO                                                NOME COMPLETO</w:t>
      </w:r>
    </w:p>
    <w:p w14:paraId="768BE78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RG Nº                                                                  CRC Nº</w:t>
      </w:r>
    </w:p>
    <w:p w14:paraId="3F2F7CA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 Marcar com um “x” para identificar se a licitante está enquadrada no porte de ME ou EPP, conforme o caso.</w:t>
      </w:r>
    </w:p>
    <w:p w14:paraId="1D85FFE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7356D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72ACB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105DA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DC446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6CF2C8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0682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044406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35B39D1">
      <w:pPr>
        <w:rPr>
          <w:rFonts w:ascii="Times New Roman" w:hAnsi="Times New Roman" w:cs="Times New Roman"/>
          <w:b w:val="0"/>
          <w:bCs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4E669361">
      <w:pPr>
        <w:pStyle w:val="143"/>
        <w:pBdr>
          <w:top w:val="single" w:color="000000" w:sz="4" w:space="0"/>
          <w:left w:val="single" w:color="000000" w:sz="4" w:space="0"/>
          <w:bottom w:val="single" w:color="000000" w:sz="4" w:space="0"/>
          <w:right w:val="single" w:color="000000" w:sz="4" w:space="0"/>
        </w:pBdr>
        <w:shd w:val="clear" w:color="auto" w:fill="D9D9D9"/>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VII</w:t>
      </w:r>
    </w:p>
    <w:p w14:paraId="0219CD8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994AB8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MODELO DE DECLARAÇÃO DE CONHECIMENTO DO LOCAL A SER REALIZADA A OBRA/SERVIÇOS</w:t>
      </w:r>
    </w:p>
    <w:p w14:paraId="76B2239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00F043C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CONCORRÊNCIA ELETRÔNICA n°  10/2026  </w:t>
      </w:r>
    </w:p>
    <w:p w14:paraId="7975D6E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F9B60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Objeto: “CONTRATAÇÃO DE EMPRESA DE ENGENHARIA PARA IMPLANTAÇÃO DE PAVIMENTAÇÃO ASFÁLTICA EM TSD NA RODOVIA VICINAL CAMPO LIMPO, SUBTRECHO ENTR. MT-483 COM EXTENSÃO DE 8,61 KM, NO MUNICÍPIO DE RONDONÓPOLIS – MT”</w:t>
      </w:r>
    </w:p>
    <w:p w14:paraId="3F20627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723CB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CB44E6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5"/>
          <w:sz w:val="18"/>
          <w:szCs w:val="18"/>
          <w:u w:val="none"/>
          <w:lang w:val="pt-BR" w:bidi="ar-SA"/>
        </w:rPr>
        <w:t>A empresa................................................................, inscrito no CNPJ sob o n°</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0"/>
          <w:sz w:val="18"/>
          <w:szCs w:val="18"/>
          <w:u w:val="none"/>
          <w:lang w:val="pt-BR" w:bidi="ar-SA"/>
        </w:rPr>
        <w:t xml:space="preserve">, através de seu </w:t>
      </w:r>
      <w:r>
        <w:rPr>
          <w:rFonts w:ascii="Book Antiqua" w:hAnsi="Book Antiqua" w:cs="Book Antiqua"/>
          <w:b w:val="0"/>
          <w:i w:val="0"/>
          <w:caps w:val="0"/>
          <w:smallCaps w:val="0"/>
          <w:strike w:val="0"/>
          <w:color w:val="000000"/>
          <w:spacing w:val="2"/>
          <w:sz w:val="18"/>
          <w:szCs w:val="18"/>
          <w:u w:val="none"/>
          <w:lang w:val="pt-BR" w:bidi="ar-SA"/>
        </w:rPr>
        <w:t>responsável técnico SR(A)...............</w:t>
      </w:r>
      <w:r>
        <w:rPr>
          <w:rFonts w:ascii="Book Antiqua" w:hAnsi="Book Antiqua" w:cs="Book Antiqua"/>
          <w:b w:val="0"/>
          <w:i w:val="0"/>
          <w:caps w:val="0"/>
          <w:smallCaps w:val="0"/>
          <w:strike w:val="0"/>
          <w:color w:val="000000"/>
          <w:spacing w:val="0"/>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 xml:space="preserve"> </w:t>
      </w:r>
      <w:r>
        <w:rPr>
          <w:rFonts w:ascii="Book Antiqua" w:hAnsi="Book Antiqua" w:cs="Book Antiqua"/>
          <w:b w:val="0"/>
          <w:i w:val="0"/>
          <w:caps w:val="0"/>
          <w:smallCaps w:val="0"/>
          <w:strike w:val="0"/>
          <w:color w:val="000000"/>
          <w:spacing w:val="-5"/>
          <w:sz w:val="18"/>
          <w:szCs w:val="18"/>
          <w:u w:val="none"/>
          <w:lang w:val="pt-BR" w:bidi="ar-SA"/>
        </w:rPr>
        <w:t>p</w:t>
      </w:r>
      <w:r>
        <w:rPr>
          <w:rFonts w:ascii="Book Antiqua" w:hAnsi="Book Antiqua" w:cs="Book Antiqua"/>
          <w:b w:val="0"/>
          <w:i w:val="0"/>
          <w:caps w:val="0"/>
          <w:smallCaps w:val="0"/>
          <w:strike w:val="0"/>
          <w:color w:val="000000"/>
          <w:spacing w:val="5"/>
          <w:sz w:val="18"/>
          <w:szCs w:val="18"/>
          <w:u w:val="none"/>
          <w:lang w:val="pt-BR" w:bidi="ar-SA"/>
        </w:rPr>
        <w:t>o</w:t>
      </w:r>
      <w:r>
        <w:rPr>
          <w:rFonts w:ascii="Book Antiqua" w:hAnsi="Book Antiqua" w:cs="Book Antiqua"/>
          <w:b w:val="0"/>
          <w:i w:val="0"/>
          <w:caps w:val="0"/>
          <w:smallCaps w:val="0"/>
          <w:strike w:val="0"/>
          <w:color w:val="000000"/>
          <w:spacing w:val="-2"/>
          <w:sz w:val="18"/>
          <w:szCs w:val="18"/>
          <w:u w:val="none"/>
          <w:lang w:val="pt-BR" w:bidi="ar-SA"/>
        </w:rPr>
        <w:t>r</w:t>
      </w:r>
      <w:r>
        <w:rPr>
          <w:rFonts w:ascii="Book Antiqua" w:hAnsi="Book Antiqua" w:cs="Book Antiqua"/>
          <w:b w:val="0"/>
          <w:i w:val="0"/>
          <w:caps w:val="0"/>
          <w:smallCaps w:val="0"/>
          <w:strike w:val="0"/>
          <w:color w:val="000000"/>
          <w:spacing w:val="5"/>
          <w:sz w:val="18"/>
          <w:szCs w:val="18"/>
          <w:u w:val="none"/>
          <w:lang w:val="pt-BR" w:bidi="ar-SA"/>
        </w:rPr>
        <w:t>t</w:t>
      </w:r>
      <w:r>
        <w:rPr>
          <w:rFonts w:ascii="Book Antiqua" w:hAnsi="Book Antiqua" w:cs="Book Antiqua"/>
          <w:b w:val="0"/>
          <w:i w:val="0"/>
          <w:caps w:val="0"/>
          <w:smallCaps w:val="0"/>
          <w:strike w:val="0"/>
          <w:color w:val="000000"/>
          <w:spacing w:val="-1"/>
          <w:sz w:val="18"/>
          <w:szCs w:val="18"/>
          <w:u w:val="none"/>
          <w:lang w:val="pt-BR" w:bidi="ar-SA"/>
        </w:rPr>
        <w:t>a</w:t>
      </w:r>
      <w:r>
        <w:rPr>
          <w:rFonts w:ascii="Book Antiqua" w:hAnsi="Book Antiqua" w:cs="Book Antiqua"/>
          <w:b w:val="0"/>
          <w:i w:val="0"/>
          <w:caps w:val="0"/>
          <w:smallCaps w:val="0"/>
          <w:strike w:val="0"/>
          <w:color w:val="000000"/>
          <w:spacing w:val="-5"/>
          <w:sz w:val="18"/>
          <w:szCs w:val="18"/>
          <w:u w:val="none"/>
          <w:lang w:val="pt-BR" w:bidi="ar-SA"/>
        </w:rPr>
        <w:t>d</w:t>
      </w:r>
      <w:r>
        <w:rPr>
          <w:rFonts w:ascii="Book Antiqua" w:hAnsi="Book Antiqua" w:cs="Book Antiqua"/>
          <w:b w:val="0"/>
          <w:i w:val="0"/>
          <w:caps w:val="0"/>
          <w:smallCaps w:val="0"/>
          <w:strike w:val="0"/>
          <w:color w:val="000000"/>
          <w:spacing w:val="5"/>
          <w:sz w:val="18"/>
          <w:szCs w:val="18"/>
          <w:u w:val="none"/>
          <w:lang w:val="pt-BR" w:bidi="ar-SA"/>
        </w:rPr>
        <w:t>o</w:t>
      </w:r>
      <w:r>
        <w:rPr>
          <w:rFonts w:ascii="Book Antiqua" w:hAnsi="Book Antiqua" w:cs="Book Antiqua"/>
          <w:b w:val="0"/>
          <w:i w:val="0"/>
          <w:caps w:val="0"/>
          <w:smallCaps w:val="0"/>
          <w:strike w:val="0"/>
          <w:color w:val="000000"/>
          <w:spacing w:val="0"/>
          <w:sz w:val="18"/>
          <w:szCs w:val="18"/>
          <w:u w:val="none"/>
          <w:lang w:val="pt-BR" w:bidi="ar-SA"/>
        </w:rPr>
        <w:t>r</w:t>
      </w:r>
      <w:r>
        <w:rPr>
          <w:rFonts w:ascii="Book Antiqua" w:hAnsi="Book Antiqua" w:cs="Book Antiqua"/>
          <w:b w:val="0"/>
          <w:i w:val="0"/>
          <w:caps w:val="0"/>
          <w:smallCaps w:val="0"/>
          <w:strike w:val="0"/>
          <w:color w:val="000000"/>
          <w:spacing w:val="-1"/>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da</w:t>
      </w:r>
      <w:r>
        <w:rPr>
          <w:rFonts w:ascii="Book Antiqua" w:hAnsi="Book Antiqua" w:cs="Book Antiqua"/>
          <w:b w:val="0"/>
          <w:i w:val="0"/>
          <w:caps w:val="0"/>
          <w:smallCaps w:val="0"/>
          <w:strike w:val="0"/>
          <w:color w:val="000000"/>
          <w:spacing w:val="1"/>
          <w:sz w:val="18"/>
          <w:szCs w:val="18"/>
          <w:u w:val="none"/>
          <w:lang w:val="pt-BR" w:bidi="ar-SA"/>
        </w:rPr>
        <w:t xml:space="preserve"> </w:t>
      </w:r>
      <w:r>
        <w:rPr>
          <w:rFonts w:ascii="Book Antiqua" w:hAnsi="Book Antiqua" w:cs="Book Antiqua"/>
          <w:b w:val="0"/>
          <w:i w:val="0"/>
          <w:caps w:val="0"/>
          <w:smallCaps w:val="0"/>
          <w:strike w:val="0"/>
          <w:color w:val="000000"/>
          <w:spacing w:val="-1"/>
          <w:sz w:val="18"/>
          <w:szCs w:val="18"/>
          <w:u w:val="none"/>
          <w:lang w:val="pt-BR" w:bidi="ar-SA"/>
        </w:rPr>
        <w:t>ca</w:t>
      </w:r>
      <w:r>
        <w:rPr>
          <w:rFonts w:ascii="Book Antiqua" w:hAnsi="Book Antiqua" w:cs="Book Antiqua"/>
          <w:b w:val="0"/>
          <w:i w:val="0"/>
          <w:caps w:val="0"/>
          <w:smallCaps w:val="0"/>
          <w:strike w:val="0"/>
          <w:color w:val="000000"/>
          <w:spacing w:val="-2"/>
          <w:sz w:val="18"/>
          <w:szCs w:val="18"/>
          <w:u w:val="none"/>
          <w:lang w:val="pt-BR" w:bidi="ar-SA"/>
        </w:rPr>
        <w:t>r</w:t>
      </w:r>
      <w:r>
        <w:rPr>
          <w:rFonts w:ascii="Book Antiqua" w:hAnsi="Book Antiqua" w:cs="Book Antiqua"/>
          <w:b w:val="0"/>
          <w:i w:val="0"/>
          <w:caps w:val="0"/>
          <w:smallCaps w:val="0"/>
          <w:strike w:val="0"/>
          <w:color w:val="000000"/>
          <w:spacing w:val="5"/>
          <w:sz w:val="18"/>
          <w:szCs w:val="18"/>
          <w:u w:val="none"/>
          <w:lang w:val="pt-BR" w:bidi="ar-SA"/>
        </w:rPr>
        <w:t>t</w:t>
      </w:r>
      <w:r>
        <w:rPr>
          <w:rFonts w:ascii="Book Antiqua" w:hAnsi="Book Antiqua" w:cs="Book Antiqua"/>
          <w:b w:val="0"/>
          <w:i w:val="0"/>
          <w:caps w:val="0"/>
          <w:smallCaps w:val="0"/>
          <w:strike w:val="0"/>
          <w:color w:val="000000"/>
          <w:spacing w:val="-1"/>
          <w:sz w:val="18"/>
          <w:szCs w:val="18"/>
          <w:u w:val="none"/>
          <w:lang w:val="pt-BR" w:bidi="ar-SA"/>
        </w:rPr>
        <w:t>e</w:t>
      </w:r>
      <w:r>
        <w:rPr>
          <w:rFonts w:ascii="Book Antiqua" w:hAnsi="Book Antiqua" w:cs="Book Antiqua"/>
          <w:b w:val="0"/>
          <w:i w:val="0"/>
          <w:caps w:val="0"/>
          <w:smallCaps w:val="0"/>
          <w:strike w:val="0"/>
          <w:color w:val="000000"/>
          <w:spacing w:val="-9"/>
          <w:sz w:val="18"/>
          <w:szCs w:val="18"/>
          <w:u w:val="none"/>
          <w:lang w:val="pt-BR" w:bidi="ar-SA"/>
        </w:rPr>
        <w:t>i</w:t>
      </w:r>
      <w:r>
        <w:rPr>
          <w:rFonts w:ascii="Book Antiqua" w:hAnsi="Book Antiqua" w:cs="Book Antiqua"/>
          <w:b w:val="0"/>
          <w:i w:val="0"/>
          <w:caps w:val="0"/>
          <w:smallCaps w:val="0"/>
          <w:strike w:val="0"/>
          <w:color w:val="000000"/>
          <w:spacing w:val="1"/>
          <w:sz w:val="18"/>
          <w:szCs w:val="18"/>
          <w:u w:val="none"/>
          <w:lang w:val="pt-BR" w:bidi="ar-SA"/>
        </w:rPr>
        <w:t>r</w:t>
      </w:r>
      <w:r>
        <w:rPr>
          <w:rFonts w:ascii="Book Antiqua" w:hAnsi="Book Antiqua" w:cs="Book Antiqua"/>
          <w:b w:val="0"/>
          <w:i w:val="0"/>
          <w:caps w:val="0"/>
          <w:smallCaps w:val="0"/>
          <w:strike w:val="0"/>
          <w:color w:val="000000"/>
          <w:spacing w:val="0"/>
          <w:sz w:val="18"/>
          <w:szCs w:val="18"/>
          <w:u w:val="none"/>
          <w:lang w:val="pt-BR" w:bidi="ar-SA"/>
        </w:rPr>
        <w:t>a</w:t>
      </w:r>
      <w:r>
        <w:rPr>
          <w:rFonts w:ascii="Book Antiqua" w:hAnsi="Book Antiqua" w:cs="Book Antiqua"/>
          <w:b w:val="0"/>
          <w:i w:val="0"/>
          <w:caps w:val="0"/>
          <w:smallCaps w:val="0"/>
          <w:strike w:val="0"/>
          <w:color w:val="000000"/>
          <w:spacing w:val="1"/>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do</w:t>
      </w:r>
      <w:r>
        <w:rPr>
          <w:rFonts w:ascii="Book Antiqua" w:hAnsi="Book Antiqua" w:cs="Book Antiqua"/>
          <w:b w:val="0"/>
          <w:i w:val="0"/>
          <w:caps w:val="0"/>
          <w:smallCaps w:val="0"/>
          <w:strike w:val="0"/>
          <w:color w:val="000000"/>
          <w:spacing w:val="6"/>
          <w:sz w:val="18"/>
          <w:szCs w:val="18"/>
          <w:u w:val="none"/>
          <w:lang w:val="pt-BR" w:bidi="ar-SA"/>
        </w:rPr>
        <w:t xml:space="preserve"> </w:t>
      </w:r>
      <w:r>
        <w:rPr>
          <w:rFonts w:ascii="Book Antiqua" w:hAnsi="Book Antiqua" w:cs="Book Antiqua"/>
          <w:b w:val="0"/>
          <w:i w:val="0"/>
          <w:caps w:val="0"/>
          <w:smallCaps w:val="0"/>
          <w:strike w:val="0"/>
          <w:color w:val="000000"/>
          <w:spacing w:val="-2"/>
          <w:sz w:val="18"/>
          <w:szCs w:val="18"/>
          <w:u w:val="none"/>
          <w:lang w:val="pt-BR" w:bidi="ar-SA"/>
        </w:rPr>
        <w:t>CR</w:t>
      </w:r>
      <w:r>
        <w:rPr>
          <w:rFonts w:ascii="Book Antiqua" w:hAnsi="Book Antiqua" w:cs="Book Antiqua"/>
          <w:b w:val="0"/>
          <w:i w:val="0"/>
          <w:caps w:val="0"/>
          <w:smallCaps w:val="0"/>
          <w:strike w:val="0"/>
          <w:color w:val="000000"/>
          <w:spacing w:val="2"/>
          <w:sz w:val="18"/>
          <w:szCs w:val="18"/>
          <w:u w:val="none"/>
          <w:lang w:val="pt-BR" w:bidi="ar-SA"/>
        </w:rPr>
        <w:t>E</w:t>
      </w:r>
      <w:r>
        <w:rPr>
          <w:rFonts w:ascii="Book Antiqua" w:hAnsi="Book Antiqua" w:cs="Book Antiqua"/>
          <w:b w:val="0"/>
          <w:i w:val="0"/>
          <w:caps w:val="0"/>
          <w:smallCaps w:val="0"/>
          <w:strike w:val="0"/>
          <w:color w:val="000000"/>
          <w:spacing w:val="0"/>
          <w:sz w:val="18"/>
          <w:szCs w:val="18"/>
          <w:u w:val="none"/>
          <w:lang w:val="pt-BR" w:bidi="ar-SA"/>
        </w:rPr>
        <w:t xml:space="preserve">A </w:t>
      </w:r>
      <w:r>
        <w:rPr>
          <w:rFonts w:ascii="Book Antiqua" w:hAnsi="Book Antiqua" w:cs="Book Antiqua"/>
          <w:b w:val="0"/>
          <w:i w:val="0"/>
          <w:caps w:val="0"/>
          <w:smallCaps w:val="0"/>
          <w:strike w:val="0"/>
          <w:color w:val="000000"/>
          <w:spacing w:val="-5"/>
          <w:sz w:val="18"/>
          <w:szCs w:val="18"/>
          <w:u w:val="none"/>
          <w:lang w:val="pt-BR" w:bidi="ar-SA"/>
        </w:rPr>
        <w:t>n</w:t>
      </w:r>
      <w:r>
        <w:rPr>
          <w:rFonts w:ascii="Book Antiqua" w:hAnsi="Book Antiqua" w:cs="Book Antiqua"/>
          <w:b w:val="0"/>
          <w:i w:val="0"/>
          <w:caps w:val="0"/>
          <w:smallCaps w:val="0"/>
          <w:strike w:val="0"/>
          <w:color w:val="000000"/>
          <w:spacing w:val="0"/>
          <w:sz w:val="18"/>
          <w:szCs w:val="18"/>
          <w:u w:val="none"/>
          <w:lang w:val="pt-BR" w:bidi="ar-SA"/>
        </w:rPr>
        <w:t>º</w:t>
      </w:r>
      <w:r>
        <w:rPr>
          <w:rFonts w:ascii="Book Antiqua" w:hAnsi="Book Antiqua" w:cs="Book Antiqua"/>
          <w:b w:val="0"/>
          <w:i w:val="0"/>
          <w:caps w:val="0"/>
          <w:smallCaps w:val="0"/>
          <w:strike w:val="0"/>
          <w:color w:val="000000"/>
          <w:spacing w:val="2"/>
          <w:sz w:val="18"/>
          <w:szCs w:val="18"/>
          <w:u w:val="none"/>
          <w:lang w:val="pt-BR" w:bidi="ar-SA"/>
        </w:rPr>
        <w:t xml:space="preserve"> .</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0"/>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 xml:space="preserve"> </w:t>
      </w:r>
      <w:r>
        <w:rPr>
          <w:rFonts w:ascii="Book Antiqua" w:hAnsi="Book Antiqua" w:cs="Book Antiqua"/>
          <w:b w:val="0"/>
          <w:i w:val="0"/>
          <w:caps w:val="0"/>
          <w:smallCaps w:val="0"/>
          <w:strike w:val="0"/>
          <w:color w:val="000000"/>
          <w:spacing w:val="-2"/>
          <w:sz w:val="18"/>
          <w:szCs w:val="18"/>
          <w:u w:val="none"/>
          <w:lang w:val="pt-BR" w:bidi="ar-SA"/>
        </w:rPr>
        <w:t>R</w:t>
      </w:r>
      <w:r>
        <w:rPr>
          <w:rFonts w:ascii="Book Antiqua" w:hAnsi="Book Antiqua" w:cs="Book Antiqua"/>
          <w:b w:val="0"/>
          <w:i w:val="0"/>
          <w:caps w:val="0"/>
          <w:smallCaps w:val="0"/>
          <w:strike w:val="0"/>
          <w:color w:val="000000"/>
          <w:spacing w:val="-1"/>
          <w:sz w:val="18"/>
          <w:szCs w:val="18"/>
          <w:u w:val="none"/>
          <w:lang w:val="pt-BR" w:bidi="ar-SA"/>
        </w:rPr>
        <w:t>e</w:t>
      </w:r>
      <w:r>
        <w:rPr>
          <w:rFonts w:ascii="Book Antiqua" w:hAnsi="Book Antiqua" w:cs="Book Antiqua"/>
          <w:b w:val="0"/>
          <w:i w:val="0"/>
          <w:caps w:val="0"/>
          <w:smallCaps w:val="0"/>
          <w:strike w:val="0"/>
          <w:color w:val="000000"/>
          <w:spacing w:val="0"/>
          <w:sz w:val="18"/>
          <w:szCs w:val="18"/>
          <w:u w:val="none"/>
          <w:lang w:val="pt-BR" w:bidi="ar-SA"/>
        </w:rPr>
        <w:t>g</w:t>
      </w:r>
      <w:r>
        <w:rPr>
          <w:rFonts w:ascii="Book Antiqua" w:hAnsi="Book Antiqua" w:cs="Book Antiqua"/>
          <w:b w:val="0"/>
          <w:i w:val="0"/>
          <w:caps w:val="0"/>
          <w:smallCaps w:val="0"/>
          <w:strike w:val="0"/>
          <w:color w:val="000000"/>
          <w:spacing w:val="-2"/>
          <w:sz w:val="18"/>
          <w:szCs w:val="18"/>
          <w:u w:val="none"/>
          <w:lang w:val="pt-BR" w:bidi="ar-SA"/>
        </w:rPr>
        <w:t>i</w:t>
      </w:r>
      <w:r>
        <w:rPr>
          <w:rFonts w:ascii="Book Antiqua" w:hAnsi="Book Antiqua" w:cs="Book Antiqua"/>
          <w:b w:val="0"/>
          <w:i w:val="0"/>
          <w:caps w:val="0"/>
          <w:smallCaps w:val="0"/>
          <w:strike w:val="0"/>
          <w:color w:val="000000"/>
          <w:spacing w:val="-1"/>
          <w:sz w:val="18"/>
          <w:szCs w:val="18"/>
          <w:u w:val="none"/>
          <w:lang w:val="pt-BR" w:bidi="ar-SA"/>
        </w:rPr>
        <w:t>ã</w:t>
      </w:r>
      <w:r>
        <w:rPr>
          <w:rFonts w:ascii="Book Antiqua" w:hAnsi="Book Antiqua" w:cs="Book Antiqua"/>
          <w:b w:val="0"/>
          <w:i w:val="0"/>
          <w:caps w:val="0"/>
          <w:smallCaps w:val="0"/>
          <w:strike w:val="0"/>
          <w:color w:val="000000"/>
          <w:spacing w:val="0"/>
          <w:sz w:val="18"/>
          <w:szCs w:val="18"/>
          <w:u w:val="none"/>
          <w:lang w:val="pt-BR" w:bidi="ar-SA"/>
        </w:rPr>
        <w:t>o</w:t>
      </w:r>
      <w:r>
        <w:rPr>
          <w:rFonts w:ascii="Book Antiqua" w:hAnsi="Book Antiqua" w:cs="Book Antiqua"/>
          <w:b w:val="0"/>
          <w:i w:val="0"/>
          <w:caps w:val="0"/>
          <w:smallCaps w:val="0"/>
          <w:strike w:val="0"/>
          <w:color w:val="000000"/>
          <w:spacing w:val="6"/>
          <w:sz w:val="18"/>
          <w:szCs w:val="18"/>
          <w:u w:val="none"/>
          <w:lang w:val="pt-BR" w:bidi="ar-SA"/>
        </w:rPr>
        <w:t xml:space="preserve"> </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w:t>
      </w:r>
      <w:r>
        <w:rPr>
          <w:rFonts w:ascii="Book Antiqua" w:hAnsi="Book Antiqua" w:cs="Book Antiqua"/>
          <w:b w:val="0"/>
          <w:i w:val="0"/>
          <w:caps w:val="0"/>
          <w:smallCaps w:val="0"/>
          <w:strike w:val="0"/>
          <w:color w:val="000000"/>
          <w:spacing w:val="0"/>
          <w:sz w:val="18"/>
          <w:szCs w:val="18"/>
          <w:u w:val="none"/>
          <w:lang w:val="pt-BR" w:bidi="ar-SA"/>
        </w:rPr>
        <w:t>,</w:t>
      </w:r>
      <w:r>
        <w:rPr>
          <w:rFonts w:ascii="Book Antiqua" w:hAnsi="Book Antiqua" w:cs="Book Antiqua"/>
          <w:b w:val="0"/>
          <w:i w:val="0"/>
          <w:caps w:val="0"/>
          <w:smallCaps w:val="0"/>
          <w:strike w:val="0"/>
          <w:color w:val="000000"/>
          <w:spacing w:val="2"/>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d</w:t>
      </w:r>
      <w:r>
        <w:rPr>
          <w:rFonts w:ascii="Book Antiqua" w:hAnsi="Book Antiqua" w:cs="Book Antiqua"/>
          <w:b w:val="0"/>
          <w:i w:val="0"/>
          <w:caps w:val="0"/>
          <w:smallCaps w:val="0"/>
          <w:strike w:val="0"/>
          <w:color w:val="000000"/>
          <w:spacing w:val="-5"/>
          <w:sz w:val="18"/>
          <w:szCs w:val="18"/>
          <w:u w:val="none"/>
          <w:lang w:val="pt-BR" w:bidi="ar-SA"/>
        </w:rPr>
        <w:t>eclaro</w:t>
      </w:r>
      <w:r>
        <w:rPr>
          <w:rFonts w:ascii="Book Antiqua" w:hAnsi="Book Antiqua" w:cs="Book Antiqua"/>
          <w:b w:val="0"/>
          <w:i w:val="0"/>
          <w:caps w:val="0"/>
          <w:smallCaps w:val="0"/>
          <w:strike w:val="0"/>
          <w:color w:val="000000"/>
          <w:spacing w:val="2"/>
          <w:sz w:val="18"/>
          <w:szCs w:val="18"/>
          <w:u w:val="none"/>
          <w:lang w:val="pt-BR" w:bidi="ar-SA"/>
        </w:rPr>
        <w:t xml:space="preserve"> </w:t>
      </w:r>
      <w:r>
        <w:rPr>
          <w:rFonts w:ascii="Book Antiqua" w:hAnsi="Book Antiqua" w:cs="Book Antiqua"/>
          <w:b w:val="0"/>
          <w:i w:val="0"/>
          <w:caps w:val="0"/>
          <w:smallCaps w:val="0"/>
          <w:strike w:val="0"/>
          <w:color w:val="000000"/>
          <w:spacing w:val="0"/>
          <w:sz w:val="18"/>
          <w:szCs w:val="18"/>
          <w:u w:val="none"/>
          <w:lang w:val="pt-BR" w:bidi="ar-SA"/>
        </w:rPr>
        <w:t>conhecer o local a ser executada a obra/serviço bem como todos os aspectos que possam influir direta ou indiretamente na execução da mesma, tendo declinado do direito de participar da Visita Técnica ao local da referida obra/serviço.</w:t>
      </w:r>
    </w:p>
    <w:p w14:paraId="5DE4EEBD">
      <w:pPr>
        <w:pStyle w:val="143"/>
        <w:spacing w:line="276" w:lineRule="auto"/>
        <w:jc w:val="right"/>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Rondonópolis-MT, ____ de _____________de______</w:t>
      </w:r>
    </w:p>
    <w:p w14:paraId="3A3B1E22">
      <w:pPr>
        <w:pStyle w:val="196"/>
        <w:numPr>
          <w:ilvl w:val="0"/>
          <w:numId w:val="7"/>
        </w:numPr>
        <w:tabs>
          <w:tab w:val="left" w:pos="566"/>
        </w:tabs>
        <w:spacing w:line="276" w:lineRule="auto"/>
        <w:ind w:left="0" w:right="0" w:firstLine="0"/>
        <w:jc w:val="both"/>
        <w:rPr>
          <w:rFonts w:ascii="Book Antiqua" w:hAnsi="Book Antiqua" w:cs="Book Antiqua"/>
          <w:b w:val="0"/>
          <w:i w:val="0"/>
          <w:caps w:val="0"/>
          <w:smallCaps w:val="0"/>
          <w:strike w:val="0"/>
          <w:color w:val="000000"/>
          <w:spacing w:val="0"/>
          <w:sz w:val="18"/>
          <w:szCs w:val="18"/>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Esta declaração deverá ser apresentada em papel timbrado da empresa, assinada pelo responsável técnico da obra/serviço e pelo responsável legal da empresa.</w:t>
      </w:r>
    </w:p>
    <w:p w14:paraId="1E467AF5">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0417E8F">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2F51F72B">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FCB3DBF">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0164B5FE">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7ACABE4">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4CED128A">
      <w:pPr>
        <w:pStyle w:val="196"/>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none"/>
          <w:lang w:val="pt-BR" w:bidi="ar-SA"/>
        </w:rPr>
      </w:pPr>
    </w:p>
    <w:p w14:paraId="7B7E3868">
      <w:pPr>
        <w:rPr>
          <w:rFonts w:ascii="Times New Roman" w:hAnsi="Times New Roman" w:cs="Times New Roman"/>
          <w:b/>
          <w:bCs w:val="0"/>
          <w:i w:val="0"/>
          <w:caps w:val="0"/>
          <w:smallCaps w:val="0"/>
          <w:strike w:val="0"/>
          <w:color w:val="000000"/>
          <w:spacing w:val="0"/>
          <w:sz w:val="22"/>
          <w:szCs w:val="22"/>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0DC15CCE">
      <w:pPr>
        <w:pStyle w:val="185"/>
        <w:pBdr>
          <w:top w:val="single" w:color="000000" w:sz="4" w:space="0"/>
          <w:left w:val="single" w:color="000000" w:sz="4" w:space="0"/>
          <w:bottom w:val="single" w:color="000000" w:sz="4" w:space="0"/>
          <w:right w:val="single" w:color="000000" w:sz="4" w:space="0"/>
        </w:pBdr>
        <w:shd w:val="clear" w:color="auto" w:fill="D9D9D9"/>
        <w:spacing w:line="276" w:lineRule="auto"/>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VIII</w:t>
      </w:r>
    </w:p>
    <w:p w14:paraId="570318FB">
      <w:pPr>
        <w:pStyle w:val="143"/>
        <w:tabs>
          <w:tab w:val="left" w:pos="8577"/>
          <w:tab w:val="left" w:pos="9719"/>
        </w:tabs>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7F2EDDBD">
      <w:pPr>
        <w:pStyle w:val="143"/>
        <w:tabs>
          <w:tab w:val="left" w:pos="8577"/>
          <w:tab w:val="left" w:pos="9719"/>
        </w:tabs>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FF0000"/>
          <w:spacing w:val="0"/>
          <w:sz w:val="18"/>
          <w:szCs w:val="18"/>
          <w:u w:val="none"/>
          <w:lang w:val="pt-BR" w:bidi="ar-SA"/>
        </w:rPr>
        <w:t>PAPEL TIMBRADO DA EMPRESA</w:t>
      </w:r>
    </w:p>
    <w:p w14:paraId="55E0962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BONIFICAÇÃO E DESPESAS INDIRETA – BDI</w:t>
      </w:r>
    </w:p>
    <w:p w14:paraId="7457170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tbl>
      <w:tblPr>
        <w:tblStyle w:val="3"/>
        <w:tblW w:w="5583" w:type="dxa"/>
        <w:tblInd w:w="2196" w:type="dxa"/>
        <w:tblLayout w:type="fixed"/>
        <w:tblCellMar>
          <w:top w:w="0" w:type="dxa"/>
          <w:left w:w="108" w:type="dxa"/>
          <w:bottom w:w="0" w:type="dxa"/>
          <w:right w:w="108" w:type="dxa"/>
        </w:tblCellMar>
      </w:tblPr>
      <w:tblGrid>
        <w:gridCol w:w="4027"/>
        <w:gridCol w:w="1556"/>
      </w:tblGrid>
      <w:tr w14:paraId="127DE981">
        <w:tblPrEx>
          <w:tblCellMar>
            <w:top w:w="0" w:type="dxa"/>
            <w:left w:w="108" w:type="dxa"/>
            <w:bottom w:w="0" w:type="dxa"/>
            <w:right w:w="108" w:type="dxa"/>
          </w:tblCellMar>
        </w:tblPrEx>
        <w:trPr>
          <w:trHeight w:val="259" w:hRule="atLeast"/>
        </w:trPr>
        <w:tc>
          <w:tcPr>
            <w:tcW w:w="4027" w:type="dxa"/>
            <w:tcBorders>
              <w:top w:val="single" w:color="000000" w:sz="4" w:space="0"/>
              <w:left w:val="single" w:color="000000" w:sz="4" w:space="0"/>
              <w:bottom w:val="single" w:color="000000" w:sz="4" w:space="0"/>
              <w:right w:val="single" w:color="000000" w:sz="4" w:space="0"/>
            </w:tcBorders>
            <w:tcMar>
              <w:top w:w="0" w:type="dxa"/>
              <w:left w:w="70" w:type="dxa"/>
              <w:bottom w:w="0" w:type="dxa"/>
              <w:right w:w="70" w:type="dxa"/>
            </w:tcMar>
            <w:vAlign w:val="bottom"/>
          </w:tcPr>
          <w:p w14:paraId="71D2827E">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Descrição Despesas</w:t>
            </w:r>
          </w:p>
        </w:tc>
        <w:tc>
          <w:tcPr>
            <w:tcW w:w="1556" w:type="dxa"/>
            <w:tcBorders>
              <w:top w:val="single" w:color="000000" w:sz="4" w:space="0"/>
              <w:left w:val="nil"/>
              <w:bottom w:val="single" w:color="000000" w:sz="4" w:space="0"/>
              <w:right w:val="single" w:color="000000" w:sz="4" w:space="0"/>
            </w:tcBorders>
            <w:tcMar>
              <w:top w:w="0" w:type="dxa"/>
              <w:left w:w="70" w:type="dxa"/>
              <w:bottom w:w="0" w:type="dxa"/>
              <w:right w:w="70" w:type="dxa"/>
            </w:tcMar>
            <w:vAlign w:val="bottom"/>
          </w:tcPr>
          <w:p w14:paraId="00C1EA7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w:t>
            </w:r>
          </w:p>
        </w:tc>
      </w:tr>
      <w:tr w14:paraId="0514C822">
        <w:tblPrEx>
          <w:tblCellMar>
            <w:top w:w="0" w:type="dxa"/>
            <w:left w:w="108" w:type="dxa"/>
            <w:bottom w:w="0" w:type="dxa"/>
            <w:right w:w="108" w:type="dxa"/>
          </w:tblCellMar>
        </w:tblPrEx>
        <w:trPr>
          <w:trHeight w:val="259" w:hRule="atLeast"/>
        </w:trPr>
        <w:tc>
          <w:tcPr>
            <w:tcW w:w="4027" w:type="dxa"/>
            <w:tcBorders>
              <w:top w:val="single" w:color="000000" w:sz="4" w:space="0"/>
              <w:left w:val="single" w:color="000000" w:sz="4" w:space="0"/>
              <w:bottom w:val="single" w:color="000000" w:sz="4" w:space="0"/>
              <w:right w:val="single" w:color="000000" w:sz="4" w:space="0"/>
            </w:tcBorders>
            <w:tcMar>
              <w:top w:w="0" w:type="dxa"/>
              <w:left w:w="70" w:type="dxa"/>
              <w:bottom w:w="0" w:type="dxa"/>
              <w:right w:w="70" w:type="dxa"/>
            </w:tcMar>
            <w:vAlign w:val="bottom"/>
          </w:tcPr>
          <w:p w14:paraId="5490A2E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Despesas Indiretas</w:t>
            </w:r>
          </w:p>
        </w:tc>
        <w:tc>
          <w:tcPr>
            <w:tcW w:w="1556" w:type="dxa"/>
            <w:tcBorders>
              <w:top w:val="single" w:color="000000" w:sz="4" w:space="0"/>
              <w:left w:val="nil"/>
              <w:bottom w:val="single" w:color="000000" w:sz="4" w:space="0"/>
              <w:right w:val="single" w:color="000000" w:sz="4" w:space="0"/>
            </w:tcBorders>
            <w:tcMar>
              <w:top w:w="0" w:type="dxa"/>
              <w:left w:w="70" w:type="dxa"/>
              <w:bottom w:w="0" w:type="dxa"/>
              <w:right w:w="70" w:type="dxa"/>
            </w:tcMar>
            <w:vAlign w:val="bottom"/>
          </w:tcPr>
          <w:p w14:paraId="2DF4D812">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6F467764">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1AEF3C5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4D09F33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3D07E098">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7A25614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Administração Central (AC)</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65B488CC">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09476DA2">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7EB234F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4FD0C99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69C38C9E">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0FF66E04">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Seguro (S)</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310E2CC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0F7A5ED8">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center"/>
          </w:tcPr>
          <w:p w14:paraId="30A810B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center"/>
          </w:tcPr>
          <w:p w14:paraId="0599C1D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tc>
      </w:tr>
      <w:tr w14:paraId="12E4EDDA">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center"/>
          </w:tcPr>
          <w:p w14:paraId="1B992509">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Riscos (R)</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center"/>
          </w:tcPr>
          <w:p w14:paraId="3E571F5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6486F3B5">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28551028">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51FC551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tc>
      </w:tr>
      <w:tr w14:paraId="3A83AFCD">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651B679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Garantia(G)</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055DEE0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 </w:t>
            </w:r>
          </w:p>
        </w:tc>
      </w:tr>
      <w:tr w14:paraId="31BA7DB7">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7437533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7FC6EA95">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tc>
      </w:tr>
      <w:tr w14:paraId="69B99B6E">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5049358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Despesas Financeiras ( DF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05813DE5">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15DD5304">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55FA5F19">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03F463E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7FCBAABF">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59296E3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Lucro ( L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1E161A0B">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02B09BED">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1FDA2163">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 </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5E5986B1">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 </w:t>
            </w:r>
          </w:p>
        </w:tc>
      </w:tr>
      <w:tr w14:paraId="089FCFF1">
        <w:tblPrEx>
          <w:tblCellMar>
            <w:top w:w="0" w:type="dxa"/>
            <w:left w:w="108" w:type="dxa"/>
            <w:bottom w:w="0" w:type="dxa"/>
            <w:right w:w="108" w:type="dxa"/>
          </w:tblCellMar>
        </w:tblPrEx>
        <w:trPr>
          <w:trHeight w:val="259" w:hRule="atLeast"/>
        </w:trPr>
        <w:tc>
          <w:tcPr>
            <w:tcW w:w="4027" w:type="dxa"/>
            <w:tcBorders>
              <w:top w:val="nil"/>
              <w:left w:val="single" w:color="000000" w:sz="4" w:space="0"/>
              <w:bottom w:val="nil"/>
              <w:right w:val="single" w:color="000000" w:sz="4" w:space="0"/>
            </w:tcBorders>
            <w:tcMar>
              <w:top w:w="0" w:type="dxa"/>
              <w:left w:w="70" w:type="dxa"/>
              <w:bottom w:w="0" w:type="dxa"/>
              <w:right w:w="70" w:type="dxa"/>
            </w:tcMar>
            <w:vAlign w:val="bottom"/>
          </w:tcPr>
          <w:p w14:paraId="16C377E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Impostos – Tributos (I)</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3D8AACE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 </w:t>
            </w:r>
          </w:p>
        </w:tc>
      </w:tr>
      <w:tr w14:paraId="654BC41E">
        <w:tblPrEx>
          <w:tblCellMar>
            <w:top w:w="0" w:type="dxa"/>
            <w:left w:w="108" w:type="dxa"/>
            <w:bottom w:w="0" w:type="dxa"/>
            <w:right w:w="108" w:type="dxa"/>
          </w:tblCellMar>
        </w:tblPrEx>
        <w:trPr>
          <w:trHeight w:val="259" w:hRule="atLeast"/>
        </w:trPr>
        <w:tc>
          <w:tcPr>
            <w:tcW w:w="4027" w:type="dxa"/>
            <w:tcBorders>
              <w:top w:val="single" w:color="000000" w:sz="4" w:space="0"/>
              <w:left w:val="single" w:color="000000" w:sz="4" w:space="0"/>
              <w:bottom w:val="single" w:color="000000" w:sz="4" w:space="0"/>
              <w:right w:val="single" w:color="000000" w:sz="4" w:space="0"/>
            </w:tcBorders>
            <w:tcMar>
              <w:top w:w="0" w:type="dxa"/>
              <w:left w:w="70" w:type="dxa"/>
              <w:bottom w:w="0" w:type="dxa"/>
              <w:right w:w="70" w:type="dxa"/>
            </w:tcMar>
            <w:vAlign w:val="bottom"/>
          </w:tcPr>
          <w:p w14:paraId="2E11565D">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COFINS</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353CB299">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092D4567">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440CD4BC">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PIS</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4AA31E8D">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4AFE1254">
        <w:tblPrEx>
          <w:tblCellMar>
            <w:top w:w="0" w:type="dxa"/>
            <w:left w:w="108" w:type="dxa"/>
            <w:bottom w:w="0" w:type="dxa"/>
            <w:right w:w="108" w:type="dxa"/>
          </w:tblCellMar>
        </w:tblPrEx>
        <w:trPr>
          <w:trHeight w:val="259" w:hRule="atLeast"/>
        </w:trPr>
        <w:tc>
          <w:tcPr>
            <w:tcW w:w="4027" w:type="dxa"/>
            <w:tcBorders>
              <w:top w:val="nil"/>
              <w:left w:val="single" w:color="000000" w:sz="4" w:space="0"/>
              <w:bottom w:val="single" w:color="000000" w:sz="4" w:space="0"/>
              <w:right w:val="single" w:color="000000" w:sz="4" w:space="0"/>
            </w:tcBorders>
            <w:tcMar>
              <w:top w:w="0" w:type="dxa"/>
              <w:left w:w="70" w:type="dxa"/>
              <w:bottom w:w="0" w:type="dxa"/>
              <w:right w:w="70" w:type="dxa"/>
            </w:tcMar>
            <w:vAlign w:val="bottom"/>
          </w:tcPr>
          <w:p w14:paraId="65B4E2A2">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ISS</w:t>
            </w:r>
          </w:p>
        </w:tc>
        <w:tc>
          <w:tcPr>
            <w:tcW w:w="1556" w:type="dxa"/>
            <w:tcBorders>
              <w:top w:val="nil"/>
              <w:left w:val="nil"/>
              <w:bottom w:val="single" w:color="000000" w:sz="4" w:space="0"/>
              <w:right w:val="single" w:color="000000" w:sz="4" w:space="0"/>
            </w:tcBorders>
            <w:tcMar>
              <w:top w:w="0" w:type="dxa"/>
              <w:left w:w="70" w:type="dxa"/>
              <w:bottom w:w="0" w:type="dxa"/>
              <w:right w:w="70" w:type="dxa"/>
            </w:tcMar>
            <w:vAlign w:val="bottom"/>
          </w:tcPr>
          <w:p w14:paraId="386469EA">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23684334">
        <w:tblPrEx>
          <w:tblCellMar>
            <w:top w:w="0" w:type="dxa"/>
            <w:left w:w="108" w:type="dxa"/>
            <w:bottom w:w="0" w:type="dxa"/>
            <w:right w:w="108" w:type="dxa"/>
          </w:tblCellMar>
        </w:tblPrEx>
        <w:trPr>
          <w:trHeight w:val="259" w:hRule="atLeast"/>
        </w:trPr>
        <w:tc>
          <w:tcPr>
            <w:tcW w:w="4027" w:type="dxa"/>
            <w:tcBorders>
              <w:top w:val="nil"/>
              <w:left w:val="single" w:color="000000" w:sz="4" w:space="0"/>
              <w:bottom w:val="nil"/>
              <w:right w:val="single" w:color="000000" w:sz="4" w:space="0"/>
            </w:tcBorders>
            <w:tcMar>
              <w:top w:w="0" w:type="dxa"/>
              <w:left w:w="70" w:type="dxa"/>
              <w:bottom w:w="0" w:type="dxa"/>
              <w:right w:w="70" w:type="dxa"/>
            </w:tcMar>
            <w:vAlign w:val="bottom"/>
          </w:tcPr>
          <w:p w14:paraId="10BEC14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CPRB </w:t>
            </w:r>
          </w:p>
        </w:tc>
        <w:tc>
          <w:tcPr>
            <w:tcW w:w="1556" w:type="dxa"/>
            <w:tcBorders>
              <w:top w:val="nil"/>
              <w:left w:val="nil"/>
              <w:bottom w:val="nil"/>
              <w:right w:val="single" w:color="000000" w:sz="4" w:space="0"/>
            </w:tcBorders>
            <w:tcMar>
              <w:top w:w="0" w:type="dxa"/>
              <w:left w:w="70" w:type="dxa"/>
              <w:bottom w:w="0" w:type="dxa"/>
              <w:right w:w="70" w:type="dxa"/>
            </w:tcMar>
            <w:vAlign w:val="bottom"/>
          </w:tcPr>
          <w:p w14:paraId="74E89A63">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w:t>
            </w:r>
          </w:p>
        </w:tc>
      </w:tr>
      <w:tr w14:paraId="70FE95CA">
        <w:tblPrEx>
          <w:tblCellMar>
            <w:top w:w="0" w:type="dxa"/>
            <w:left w:w="108" w:type="dxa"/>
            <w:bottom w:w="0" w:type="dxa"/>
            <w:right w:w="108" w:type="dxa"/>
          </w:tblCellMar>
        </w:tblPrEx>
        <w:trPr>
          <w:trHeight w:val="259" w:hRule="atLeast"/>
        </w:trPr>
        <w:tc>
          <w:tcPr>
            <w:tcW w:w="4027" w:type="dxa"/>
            <w:tcBorders>
              <w:top w:val="single" w:color="000000" w:sz="4" w:space="0"/>
              <w:left w:val="single" w:color="000000" w:sz="4" w:space="0"/>
              <w:bottom w:val="single" w:color="000000" w:sz="4" w:space="0"/>
              <w:right w:val="single" w:color="000000" w:sz="4" w:space="0"/>
            </w:tcBorders>
            <w:tcMar>
              <w:top w:w="0" w:type="dxa"/>
              <w:left w:w="70" w:type="dxa"/>
              <w:bottom w:w="0" w:type="dxa"/>
              <w:right w:w="70" w:type="dxa"/>
            </w:tcMar>
            <w:vAlign w:val="bottom"/>
          </w:tcPr>
          <w:p w14:paraId="24B274C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c>
        <w:tc>
          <w:tcPr>
            <w:tcW w:w="1556" w:type="dxa"/>
            <w:tcBorders>
              <w:top w:val="single" w:color="000000" w:sz="4" w:space="0"/>
              <w:left w:val="nil"/>
              <w:bottom w:val="nil"/>
              <w:right w:val="single" w:color="000000" w:sz="4" w:space="0"/>
            </w:tcBorders>
            <w:tcMar>
              <w:top w:w="0" w:type="dxa"/>
              <w:left w:w="70" w:type="dxa"/>
              <w:bottom w:w="0" w:type="dxa"/>
              <w:right w:w="70" w:type="dxa"/>
            </w:tcMar>
            <w:vAlign w:val="bottom"/>
          </w:tcPr>
          <w:p w14:paraId="484F455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w:t>
            </w:r>
          </w:p>
        </w:tc>
      </w:tr>
      <w:tr w14:paraId="7FA44B07">
        <w:tblPrEx>
          <w:tblCellMar>
            <w:top w:w="0" w:type="dxa"/>
            <w:left w:w="108" w:type="dxa"/>
            <w:bottom w:w="0" w:type="dxa"/>
            <w:right w:w="108" w:type="dxa"/>
          </w:tblCellMar>
        </w:tblPrEx>
        <w:trPr>
          <w:trHeight w:val="259" w:hRule="atLeast"/>
        </w:trPr>
        <w:tc>
          <w:tcPr>
            <w:tcW w:w="4027" w:type="dxa"/>
            <w:tcBorders>
              <w:top w:val="single" w:color="000000" w:sz="4" w:space="0"/>
              <w:left w:val="single" w:color="000000" w:sz="4" w:space="0"/>
              <w:bottom w:val="single" w:color="000000" w:sz="4" w:space="0"/>
              <w:right w:val="single" w:color="000000" w:sz="4" w:space="0"/>
            </w:tcBorders>
            <w:tcMar>
              <w:top w:w="0" w:type="dxa"/>
              <w:left w:w="70" w:type="dxa"/>
              <w:bottom w:w="0" w:type="dxa"/>
              <w:right w:w="70" w:type="dxa"/>
            </w:tcMar>
            <w:vAlign w:val="bottom"/>
          </w:tcPr>
          <w:p w14:paraId="435B65B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Total</w:t>
            </w:r>
          </w:p>
        </w:tc>
        <w:tc>
          <w:tcPr>
            <w:tcW w:w="1556" w:type="dxa"/>
            <w:tcBorders>
              <w:top w:val="single" w:color="000000" w:sz="4" w:space="0"/>
              <w:left w:val="nil"/>
              <w:bottom w:val="single" w:color="000000" w:sz="4" w:space="0"/>
              <w:right w:val="single" w:color="000000" w:sz="4" w:space="0"/>
            </w:tcBorders>
            <w:tcMar>
              <w:top w:w="0" w:type="dxa"/>
              <w:left w:w="70" w:type="dxa"/>
              <w:bottom w:w="0" w:type="dxa"/>
              <w:right w:w="70" w:type="dxa"/>
            </w:tcMar>
            <w:vAlign w:val="bottom"/>
          </w:tcPr>
          <w:p w14:paraId="27CD086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w:t>
            </w:r>
          </w:p>
        </w:tc>
      </w:tr>
    </w:tbl>
    <w:p w14:paraId="130A042F">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58F97905">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mc:AlternateContent>
          <mc:Choice Requires="wps">
            <w:drawing>
              <wp:anchor distT="0" distB="0" distL="0" distR="0" simplePos="0" relativeHeight="251659264" behindDoc="1" locked="0" layoutInCell="1" allowOverlap="1">
                <wp:simplePos x="0" y="0"/>
                <wp:positionH relativeFrom="margin">
                  <wp:posOffset>1532890</wp:posOffset>
                </wp:positionH>
                <wp:positionV relativeFrom="paragraph">
                  <wp:posOffset>140970</wp:posOffset>
                </wp:positionV>
                <wp:extent cx="68580" cy="391160"/>
                <wp:effectExtent l="0" t="0" r="0" b="0"/>
                <wp:wrapNone/>
                <wp:docPr id="2" name="AutoForma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755" cy="391295"/>
                        </a:xfrm>
                        <a:custGeom>
                          <a:avLst/>
                          <a:gdLst>
                            <a:gd name="adj1" fmla="val 1800"/>
                            <a:gd name="adj2" fmla="val 10800"/>
                            <a:gd name="gd0" fmla="val 0"/>
                            <a:gd name="gd1" fmla="val 21600"/>
                            <a:gd name="gd2" fmla="+- 0 gd1 gd0"/>
                            <a:gd name="gd3" fmla="+/ 0 gd2 1"/>
                            <a:gd name="gd4" fmla="val 0"/>
                            <a:gd name="gd5" fmla="val 21600"/>
                            <a:gd name="gd6" fmla="val 5400"/>
                            <a:gd name="gd7" fmla="val 16200"/>
                            <a:gd name="gd8" fmla="val 10800"/>
                            <a:gd name="gd9" fmla="+- 0 gd5 gd4"/>
                            <a:gd name="gd10" fmla="val 0"/>
                            <a:gd name="gd11" fmla="val 1"/>
                            <a:gd name="gd12" fmla="+/ 0 gd9 1"/>
                            <a:gd name="gd13" fmla="+/ 0 gd10 1"/>
                            <a:gd name="gd14" fmla="+- 0 21600 gd10"/>
                            <a:gd name="gd15" fmla="*/ gd10 10000 1"/>
                            <a:gd name="gd16" fmla="+- 0 gd11 gd10"/>
                            <a:gd name="gd17" fmla="+/ gd11 gd10 1"/>
                            <a:gd name="gd18" fmla="*/ 10800 gd12 1"/>
                            <a:gd name="gd19" fmla="*/ 13800 gd12 1"/>
                            <a:gd name="gd20" fmla="*/ 21600 gd12 1"/>
                            <a:gd name="gd21" fmla="*/ 0 gd12 1"/>
                            <a:gd name="gd22" fmla="+- 0 gd11 gd13"/>
                            <a:gd name="gd23" fmla="+/ gd11 gd13 1"/>
                            <a:gd name="gd24" fmla="+- 0 21600 gd13"/>
                            <a:gd name="gd25" fmla="+/ 0 gd15 1"/>
                            <a:gd name="gd26" fmla="+/ 0 gd18 1"/>
                            <a:gd name="gd27" fmla="+/ 0 gd20 1"/>
                            <a:gd name="gd28" fmla="+/ 0 gd21 1"/>
                            <a:gd name="gd29" fmla="+/ 0 gd19 1"/>
                            <a:gd name="gd30" fmla="+- 0 21600 gd25"/>
                            <a:gd name="gd31" fmla="+/ 0 0 1"/>
                            <a:gd name="gd32" fmla="+/ 0 1 1"/>
                          </a:gdLst>
                          <a:ahLst/>
                          <a:cxnLst/>
                          <a:rect l="0" t="0" r="r" b="b"/>
                          <a:pathLst>
                            <a:path w="21600" h="21600" extrusionOk="0">
                              <a:moveTo>
                                <a:pt x="gd5" y="gd4"/>
                              </a:moveTo>
                              <a:cubicBezTo>
                                <a:pt x="gd7" y="gd4"/>
                                <a:pt x="gd8" y="gd13"/>
                                <a:pt x="gd8" y="gd10"/>
                              </a:cubicBezTo>
                              <a:lnTo>
                                <a:pt x="gd8" y="gd16"/>
                              </a:lnTo>
                              <a:cubicBezTo>
                                <a:pt x="gd8" y="gd22"/>
                                <a:pt x="gd6" y="gd11"/>
                                <a:pt x="gd4" y="gd11"/>
                              </a:cubicBezTo>
                              <a:cubicBezTo>
                                <a:pt x="gd6" y="gd11"/>
                                <a:pt x="gd8" y="gd23"/>
                                <a:pt x="gd8" y="gd17"/>
                              </a:cubicBezTo>
                              <a:lnTo>
                                <a:pt x="gd8" y="gd14"/>
                              </a:lnTo>
                              <a:cubicBezTo>
                                <a:pt x="gd8" y="gd24"/>
                                <a:pt x="gd7" y="gd5"/>
                                <a:pt x="gd5" y="gd5"/>
                              </a:cubicBezTo>
                            </a:path>
                          </a:pathLst>
                        </a:custGeom>
                        <a:noFill/>
                        <a:ln w="9359">
                          <a:solidFill>
                            <a:srgbClr val="000000"/>
                          </a:solidFill>
                        </a:ln>
                        <a:effectLst/>
                      </wps:spPr>
                      <wps:bodyPr rot="0">
                        <a:noAutofit/>
                      </wps:bodyPr>
                    </wps:wsp>
                  </a:graphicData>
                </a:graphic>
              </wp:anchor>
            </w:drawing>
          </mc:Choice>
          <mc:Fallback>
            <w:pict>
              <v:shape id="AutoForma 2" o:spid="_x0000_s1026" o:spt="100" style="position:absolute;left:0pt;margin-left:120.7pt;margin-top:11.1pt;height:30.8pt;width:5.4pt;mso-position-horizontal-relative:margin;z-index:-251657216;mso-width-relative:page;mso-height-relative:page;" filled="f" stroked="t" coordsize="21600,21600" o:gfxdata="UEsDBAoAAAAAAIdO4kAAAAAAAAAAAAAAAAAEAAAAZHJzL1BLAwQUAAAACACHTuJA2nTEF9gAAAAJ&#10;AQAADwAAAGRycy9kb3ducmV2LnhtbE2Py07DMBBF90j8gzVI7KiTUFAU4lQI8diA1JZK3brxkITa&#10;48h2X3/PdFV2dzRHd87Us6OzYo8hDp4U5JMMBFLrzUCdgtX3210JIiZNRltPqOCEEWbN9VWtK+MP&#10;tMD9MnWCSyhWWkGf0lhJGdsenY4TPyLx7scHpxOPoZMm6AOXOyuLLHuUTg/EF3o94kuP7Xa5cwq+&#10;wvb1d0Xr08f6/XOOdjHHPDwrdXuTZ08gEh7TBYazPqtDw04bvyMThVVQTPMpoxyKAgQDxcM5bBSU&#10;9yXIppb/P2j+AFBLAwQUAAAACACHTuJAnz+qZc8DAACBCwAADgAAAGRycy9lMm9Eb2MueG1srVbb&#10;bts4EH1fYP+B0GOLRqIUO7ERJ+g2yL50twXafgAtUZeNJAqkfMl+fYcjkpIsBs1DDSTQ5ehwzpzh&#10;cO4ezk1NjlyqSrS7gF5FAeFtKrKqLXbBj+9PH24DonrWZqwWLd8FL1wFD/d//nF36rY8FqWoMy4J&#10;kLRqe+p2Qdn33TYMVVryhqkr0fEWXuZCNqyHW1mEmWQnYG/qMI6idXgSMuukSLlS8PRxeBkYRvkW&#10;QpHnVcofRXpoeNsPrJLXrAdJqqw6FdxjtHnO0/5Lnivek3oXgNIe/8MicL3X/8P7O7YtJOvKKjUh&#10;sLeEcKGpYVULizqqR9YzcpDVgqqpUimUyPurVDThIAQzAipodJGbbyXrOGqBVKvOJV39Ptr03+NX&#10;SapsF8QBaVkDhn889OJJ20dinZ5Tp7aA+tZ9lVqg6j6L9FmRVnwqWVvwj6qDJEMhaWw4A+sbBZ+R&#10;/ekfkQEzA2bM0jmXjSYD/eSMZrw4M/i5Jyk8XN/erFYBSeFNsqHxZoULsK39Nj2o/m8ukIcdP6t+&#10;sDKDKzQiM3JY9h8NSN7U4OuR1YTeRtb2CQTUTyDRElNkUDIj5JKiyGaLxHS9WKXI3CLvP5CIwCfw&#10;tyRK7DrvQ0TFBHMLtWXjLbJri9GKlhSQtzFUfyzrKWR17Yn2Zoqga9i7ZreMYUCrGNeh3qxtLMRo&#10;XoHm6wUR/VVyZ9ld5oOOqR2StvEkjV5mlkY+lMstRozZ014t1VOX5nchIgiN4OfjdNm2zmvrfZQu&#10;6WA+IAaYj9GlHtbGzGu4r1Soc0AjE6js15CxMwGQTrePM3Z2APJ1vtEUU+8oJ1m4H0+NsaoTj+r4&#10;FW88lM4bs4voysc3+mJ03PpQU1O02tjncewcsfuW+ricGzYuX6UmzolZDcbYA2eNIHFOIJ8vsGS0&#10;QYs0UYWaxvRKVtr2mZ5beymhrV+emhJPzf1gYMd6/Z1utvqSnOAMwbZHSncFzVwe9KTx5Vk3eI1t&#10;xJF/F/hVr5t/kYFV0ORNW4C4RkR62FfpX/z/OR7sGPGwuKGB/ONj2OZ4FCye4w4G/jlr3c7ZHc1a&#10;0wDcAuafXbLHeFiO0UBlDdGYZmXxUMGT54to/Iu8RmZjhQ3kl3xjNMxprSIbk6Wh2JjfLtn0cUtj&#10;fTFVah9be+0BPo0F1tK1g3l29YRJGQ/3VjxVdY366lZX2SZZbbCUlKirTL/U1aRksf9USwInIpQa&#10;/oz4CQy1aTTH2XCodZxa9KAyDDt7kb3A0CIFDosa3Ao9E+WVHjEQPEDMDUxmGL+ZIvXoN71H1Dg5&#10;3/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2nTEF9gAAAAJAQAADwAAAAAAAAABACAAAAAiAAAA&#10;ZHJzL2Rvd25yZXYueG1sUEsBAhQAFAAAAAgAh07iQJ8/qmXPAwAAgQsAAA4AAAAAAAAAAQAgAAAA&#10;JwEAAGRycy9lMm9Eb2MueG1sUEsFBgAAAAAGAAYAWQEAAGgHAAAAAA==&#10;" path="m21600,0c16200,0,10800,0,10800,0l10800,1c10800,1,5400,1,0,1c5400,1,10800,1,10800,1l10800,21600c10800,21600,16200,21600,21600,21600e">
                <v:fill on="f" focussize="0,0"/>
                <v:stroke weight="0.736929133858268pt" color="#000000" joinstyle="round"/>
                <v:imagedata o:title=""/>
                <o:lock v:ext="edit" aspectratio="t"/>
              </v:shape>
            </w:pict>
          </mc:Fallback>
        </mc:AlternateContent>
      </w:r>
      <w:r>
        <mc:AlternateContent>
          <mc:Choice Requires="wps">
            <w:drawing>
              <wp:anchor distT="0" distB="0" distL="0" distR="0" simplePos="0" relativeHeight="251659264" behindDoc="1" locked="0" layoutInCell="1" allowOverlap="1">
                <wp:simplePos x="0" y="0"/>
                <wp:positionH relativeFrom="margin">
                  <wp:posOffset>4819650</wp:posOffset>
                </wp:positionH>
                <wp:positionV relativeFrom="paragraph">
                  <wp:posOffset>52070</wp:posOffset>
                </wp:positionV>
                <wp:extent cx="60325" cy="374650"/>
                <wp:effectExtent l="0" t="0" r="0" b="0"/>
                <wp:wrapNone/>
                <wp:docPr id="3" name="AutoForma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0116" cy="374376"/>
                        </a:xfrm>
                        <a:custGeom>
                          <a:avLst/>
                          <a:gdLst>
                            <a:gd name="adj1" fmla="val 1800"/>
                            <a:gd name="adj2" fmla="val 10800"/>
                            <a:gd name="gd0" fmla="val 0"/>
                            <a:gd name="gd1" fmla="val 21600"/>
                            <a:gd name="gd2" fmla="+- 0 gd1 gd0"/>
                            <a:gd name="gd3" fmla="+/ 0 gd2 1"/>
                            <a:gd name="gd4" fmla="val 0"/>
                            <a:gd name="gd5" fmla="val 21600"/>
                            <a:gd name="gd6" fmla="val 5400"/>
                            <a:gd name="gd7" fmla="val 10800"/>
                            <a:gd name="gd8" fmla="val 16200"/>
                            <a:gd name="gd9" fmla="+- 0 gd5 gd4"/>
                            <a:gd name="gd10" fmla="val 0"/>
                            <a:gd name="gd11" fmla="val 1"/>
                            <a:gd name="gd12" fmla="+/ 0 gd9 1"/>
                            <a:gd name="gd13" fmla="+/ 0 gd10 1"/>
                            <a:gd name="gd14" fmla="+- 0 21600 gd10"/>
                            <a:gd name="gd15" fmla="*/ gd10 10000 1"/>
                            <a:gd name="gd16" fmla="+- 0 gd11 gd10"/>
                            <a:gd name="gd17" fmla="+/ gd11 gd10 1"/>
                            <a:gd name="gd18" fmla="*/ 10800 gd12 1"/>
                            <a:gd name="gd19" fmla="*/ 0 gd12 1"/>
                            <a:gd name="gd20" fmla="*/ 7800 gd12 1"/>
                            <a:gd name="gd21" fmla="*/ 21600 gd12 1"/>
                            <a:gd name="gd22" fmla="+- 0 gd11 gd13"/>
                            <a:gd name="gd23" fmla="+/ gd11 gd13 1"/>
                            <a:gd name="gd24" fmla="+- 0 21600 gd13"/>
                            <a:gd name="gd25" fmla="+/ 0 gd15 1"/>
                            <a:gd name="gd26" fmla="+/ 0 gd18 1"/>
                            <a:gd name="gd27" fmla="+/ 0 gd19 1"/>
                            <a:gd name="gd28" fmla="+/ 0 gd21 1"/>
                            <a:gd name="gd29" fmla="+/ 0 gd20 1"/>
                            <a:gd name="gd30" fmla="+- 0 21600 gd25"/>
                            <a:gd name="gd31" fmla="+/ 0 0 1"/>
                            <a:gd name="gd32" fmla="+/ 0 1 1"/>
                          </a:gdLst>
                          <a:ahLst/>
                          <a:cxnLst/>
                          <a:rect l="0" t="0" r="r" b="b"/>
                          <a:pathLst>
                            <a:path w="21600" h="21600" extrusionOk="0">
                              <a:moveTo>
                                <a:pt x="gd4" y="gd4"/>
                              </a:moveTo>
                              <a:cubicBezTo>
                                <a:pt x="gd6" y="gd4"/>
                                <a:pt x="gd7" y="gd13"/>
                                <a:pt x="gd7" y="gd10"/>
                              </a:cubicBezTo>
                              <a:lnTo>
                                <a:pt x="gd7" y="gd16"/>
                              </a:lnTo>
                              <a:cubicBezTo>
                                <a:pt x="gd7" y="gd22"/>
                                <a:pt x="gd8" y="gd11"/>
                                <a:pt x="gd5" y="gd11"/>
                              </a:cubicBezTo>
                              <a:cubicBezTo>
                                <a:pt x="gd8" y="gd11"/>
                                <a:pt x="gd7" y="gd23"/>
                                <a:pt x="gd7" y="gd17"/>
                              </a:cubicBezTo>
                              <a:lnTo>
                                <a:pt x="gd7" y="gd14"/>
                              </a:lnTo>
                              <a:cubicBezTo>
                                <a:pt x="gd7" y="gd24"/>
                                <a:pt x="gd6" y="gd5"/>
                                <a:pt x="gd4" y="gd5"/>
                              </a:cubicBezTo>
                            </a:path>
                          </a:pathLst>
                        </a:custGeom>
                        <a:noFill/>
                        <a:ln w="9359">
                          <a:solidFill>
                            <a:srgbClr val="000000"/>
                          </a:solidFill>
                        </a:ln>
                        <a:effectLst/>
                      </wps:spPr>
                      <wps:bodyPr rot="0">
                        <a:noAutofit/>
                      </wps:bodyPr>
                    </wps:wsp>
                  </a:graphicData>
                </a:graphic>
              </wp:anchor>
            </w:drawing>
          </mc:Choice>
          <mc:Fallback>
            <w:pict>
              <v:shape id="AutoForma 3" o:spid="_x0000_s1026" o:spt="100" style="position:absolute;left:0pt;margin-left:379.5pt;margin-top:4.1pt;height:29.5pt;width:4.75pt;mso-position-horizontal-relative:margin;z-index:-251657216;mso-width-relative:page;mso-height-relative:page;" filled="f" stroked="t" coordsize="21600,21600" o:gfxdata="UEsDBAoAAAAAAIdO4kAAAAAAAAAAAAAAAAAEAAAAZHJzL1BLAwQUAAAACACHTuJAIaMMwdgAAAAI&#10;AQAADwAAAGRycy9kb3ducmV2LnhtbE2PS0/DMBCE70j8B2uRuFEnkZqEkE2FEI8LSG2p1KsbL0lo&#10;vI5s9/XvMSc4jmY08029OJtRHMn5wTJCOktAELdWD9whbD5f7koQPijWarRMCBfysGiur2pVaXvi&#10;FR3XoROxhH2lEPoQpkpK3/ZklJ/ZiTh6X9YZFaJ0ndROnWK5GWWWJLk0auC40KuJnnpq9+uDQfhw&#10;++fvDW8vb9vX9yWNqyWl7hHx9iZNHkAEOoe/MPziR3RoItPOHlh7MSIU8/v4JSCUGYjoF3k5B7FD&#10;yIsMZFPL/weaH1BLAwQUAAAACACHTuJA46Px/9ADAACACwAADgAAAGRycy9lMm9Eb2MueG1srVbb&#10;bts4EH1fYP+B0GOLRqIc24kRp2gbpC/dTYFmP4CWqMtWEgWSvmS/vsMRSVkWg81DDSSQqKPDmXOG&#10;o7n7eGobcuBS1aLbRvQqiQjvMpHXXbmN/nl+/HATEaVZl7NGdHwbvXAVfbz/84+7Y7/hqahEk3NJ&#10;gKRTm2O/jSqt+00cq6ziLVNXoucdPCyEbJmGW1nGuWRHYG+bOE2SVXwUMu+lyLhSsPowPIwso3wL&#10;oSiKOuMPItu3vNMDq+QN05CSqupeRfcYbVHwTD8VheKaNNsIMtX4HzaB6535H9/fsU0pWV/VmQ2B&#10;vSWEi5xaVnewqad6YJqRvaxnVG2dSaFEoa8y0cZDIqgIZEGTC21+VKznmAtIrXovuvp9tNnfh++S&#10;1Pk2WkSkYy0Y/mmvxaOxjyyMPMdebQD1o/8uTYKq/yayn4p04kvFupJ/Uj2IDIVksPEEbG4UvEZ2&#10;x79EDswMmFGlUyFbQwb5kxOa8eLN4CdNMlhcJZSuIpLBk8X6erFe4QZs497N9kp/5QJ52OGb0oOV&#10;OVyhEblNh+X/0ogUbQO+HlhD6E3ibD+DpBNIMseUOZTMyHJJUeaTTVK6mu1S5n6T9x9IQuAV+JsT&#10;gRHDPu9jRKUEtYXacvGW+bXDmIzmFMvzx+FYQNoxm+V1INr1OYIGJYFWMZLQFRxve6DGSG8dxOa8&#10;hJyvZyj6f+JO1J3rQUdpB9FuA6LRS2VpEkJ5bTFiVM94NU+NepnfxYggNIFfiNOr7Zw31ocovehg&#10;PiAGWIjRSw97ozkGHioV6h0AJFZdCJV6AwC1hvJ/jS71TgDQixOkHD2x5Y7ZYFOZFHN67otLehFI&#10;On3FmgClt8YeIroM8Y22WGluQqhzT1CXUHGl3hB3bGmIy5vhUKFyWXgzJiWYLmfnZuHdQL4g2WiD&#10;SdJGFRsHbKtkleue2alzlxK6+uVHU+JHczdE0TNt3jO91lyS4zYaOg2p/BX0crk3g8bTT9PfDbYV&#10;B/4s8C1tej/2MujxtitAXCMi2+/q7DP/b4oH00Y8bG5pwCVchlOOX4LZOh5g4J+yNt2U3dO4740D&#10;TF+7ZE/T6a5QDUM0tlc5PNTl2fosmvAmr5G5WOEAhVNem/XZJi4jF5OjodiXAe4A4WgcPLVt3NE4&#10;X2yVumU4s5gxLl/EAremdjBGX0+IGb/tnXismwbzazpTZbeL5S2WkhJNnZuHppqULHdfGknggwil&#10;hj+b/BkMczNojqPhUOs4tJg5ZZh1diJ/gZlFCpwVDbgTZiQqajNhIHiA2BsYzDB+O0Saye/8HlHj&#10;4Hz/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EGAABbQ29udGVudF9UeXBlc10ueG1sUEsBAhQACgAAAAAAh07iQAAAAAAAAAAAAAAAAAYAAAAA&#10;AAAAAAAQAAAAIwUAAF9yZWxzL1BLAQIUABQAAAAIAIdO4kCKFGY80QAAAJQBAAALAAAAAAAAAAEA&#10;IAAAAEcFAABfcmVscy8ucmVsc1BLAQIUAAoAAAAAAIdO4kAAAAAAAAAAAAAAAAAEAAAAAAAAAAAA&#10;EAAAAAAAAABkcnMvUEsBAhQAFAAAAAgAh07iQCGjDMHYAAAACAEAAA8AAAAAAAAAAQAgAAAAIgAA&#10;AGRycy9kb3ducmV2LnhtbFBLAQIUABQAAAAIAIdO4kDjo/H/0AMAAIALAAAOAAAAAAAAAAEAIAAA&#10;ACcBAABkcnMvZTJvRG9jLnhtbFBLBQYAAAAABgAGAFkBAABpBwAAAAA=&#10;" path="m0,0c5400,0,10800,0,10800,0l10800,1c10800,1,16200,1,21600,1c16200,1,10800,1,10800,1l10800,21600c10800,21600,5400,21600,0,21600e">
                <v:fill on="f" focussize="0,0"/>
                <v:stroke weight="0.736929133858268pt" color="#000000" joinstyle="round"/>
                <v:imagedata o:title=""/>
                <o:lock v:ext="edit" aspectratio="t"/>
              </v:shape>
            </w:pict>
          </mc:Fallback>
        </mc:AlternateContent>
      </w:r>
    </w:p>
    <w:p w14:paraId="594B6876">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BDI = </w:t>
      </w:r>
      <w:r>
        <w:rPr>
          <w:rFonts w:ascii="Book Antiqua" w:hAnsi="Book Antiqua" w:cs="Book Antiqua"/>
          <w:b w:val="0"/>
          <w:i w:val="0"/>
          <w:caps w:val="0"/>
          <w:smallCaps w:val="0"/>
          <w:strike w:val="0"/>
          <w:color w:val="000000"/>
          <w:spacing w:val="0"/>
          <w:sz w:val="18"/>
          <w:szCs w:val="18"/>
          <w:u w:val="single"/>
          <w:lang w:val="pt-BR" w:bidi="ar-SA"/>
        </w:rPr>
        <w:t>(1+AC+S+R+G)(1+DF)(1+L)</w:t>
      </w:r>
      <w:r>
        <w:rPr>
          <w:rFonts w:ascii="Book Antiqua" w:hAnsi="Book Antiqua" w:cs="Book Antiqua"/>
          <w:b w:val="0"/>
          <w:i w:val="0"/>
          <w:caps w:val="0"/>
          <w:smallCaps w:val="0"/>
          <w:strike w:val="0"/>
          <w:color w:val="000000"/>
          <w:spacing w:val="0"/>
          <w:sz w:val="18"/>
          <w:szCs w:val="18"/>
          <w:u w:val="none"/>
          <w:lang w:val="pt-BR" w:bidi="ar-SA"/>
        </w:rPr>
        <w:t xml:space="preserve">  - 1</w:t>
      </w:r>
    </w:p>
    <w:p w14:paraId="375B44F4">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(1 - l)</w:t>
      </w:r>
    </w:p>
    <w:p w14:paraId="0A6AC7B0">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bl>
      <w:tblPr>
        <w:tblStyle w:val="3"/>
        <w:tblW w:w="8645" w:type="dxa"/>
        <w:tblInd w:w="0" w:type="dxa"/>
        <w:tblLayout w:type="fixed"/>
        <w:tblCellMar>
          <w:top w:w="0" w:type="dxa"/>
          <w:left w:w="108" w:type="dxa"/>
          <w:bottom w:w="0" w:type="dxa"/>
          <w:right w:w="108" w:type="dxa"/>
        </w:tblCellMar>
      </w:tblPr>
      <w:tblGrid>
        <w:gridCol w:w="1271"/>
        <w:gridCol w:w="7375"/>
      </w:tblGrid>
      <w:tr w14:paraId="4DBF7EAF">
        <w:tblPrEx>
          <w:tblCellMar>
            <w:top w:w="0" w:type="dxa"/>
            <w:left w:w="108" w:type="dxa"/>
            <w:bottom w:w="0" w:type="dxa"/>
            <w:right w:w="108" w:type="dxa"/>
          </w:tblCellMar>
        </w:tblPrEx>
        <w:trPr>
          <w:trHeight w:val="255" w:hRule="atLeast"/>
        </w:trPr>
        <w:tc>
          <w:tcPr>
            <w:tcW w:w="1271" w:type="dxa"/>
            <w:tcBorders>
              <w:top w:val="nil"/>
              <w:left w:val="nil"/>
              <w:bottom w:val="nil"/>
              <w:right w:val="nil"/>
            </w:tcBorders>
            <w:tcMar>
              <w:top w:w="0" w:type="dxa"/>
              <w:left w:w="70" w:type="dxa"/>
              <w:bottom w:w="0" w:type="dxa"/>
              <w:right w:w="70" w:type="dxa"/>
            </w:tcMar>
            <w:vAlign w:val="bottom"/>
          </w:tcPr>
          <w:p w14:paraId="5D1C6277">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Onde:</w:t>
            </w:r>
          </w:p>
        </w:tc>
        <w:tc>
          <w:tcPr>
            <w:tcW w:w="7375" w:type="dxa"/>
            <w:tcBorders>
              <w:top w:val="nil"/>
              <w:left w:val="nil"/>
              <w:bottom w:val="nil"/>
              <w:right w:val="nil"/>
            </w:tcBorders>
            <w:tcMar>
              <w:top w:w="0" w:type="dxa"/>
              <w:left w:w="70" w:type="dxa"/>
              <w:bottom w:w="0" w:type="dxa"/>
              <w:right w:w="70" w:type="dxa"/>
            </w:tcMar>
            <w:vAlign w:val="bottom"/>
          </w:tcPr>
          <w:p w14:paraId="1B50A560">
            <w:pPr>
              <w:pStyle w:val="143"/>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tc>
      </w:tr>
      <w:tr w14:paraId="55E31056">
        <w:tblPrEx>
          <w:tblCellMar>
            <w:top w:w="0" w:type="dxa"/>
            <w:left w:w="108" w:type="dxa"/>
            <w:bottom w:w="0" w:type="dxa"/>
            <w:right w:w="108" w:type="dxa"/>
          </w:tblCellMar>
        </w:tblPrEx>
        <w:trPr>
          <w:trHeight w:val="255" w:hRule="atLeast"/>
        </w:trPr>
        <w:tc>
          <w:tcPr>
            <w:tcW w:w="8647" w:type="dxa"/>
            <w:gridSpan w:val="2"/>
            <w:tcBorders>
              <w:top w:val="nil"/>
              <w:left w:val="nil"/>
              <w:bottom w:val="nil"/>
              <w:right w:val="nil"/>
            </w:tcBorders>
            <w:tcMar>
              <w:top w:w="0" w:type="dxa"/>
              <w:left w:w="70" w:type="dxa"/>
              <w:bottom w:w="0" w:type="dxa"/>
              <w:right w:w="70" w:type="dxa"/>
            </w:tcMar>
            <w:vAlign w:val="bottom"/>
          </w:tcPr>
          <w:p w14:paraId="7BC3634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AC = taxa de rateio da Administração Central;</w:t>
            </w:r>
          </w:p>
        </w:tc>
      </w:tr>
      <w:tr w14:paraId="3D87435E">
        <w:tblPrEx>
          <w:tblCellMar>
            <w:top w:w="0" w:type="dxa"/>
            <w:left w:w="108" w:type="dxa"/>
            <w:bottom w:w="0" w:type="dxa"/>
            <w:right w:w="108" w:type="dxa"/>
          </w:tblCellMar>
        </w:tblPrEx>
        <w:trPr>
          <w:trHeight w:val="255" w:hRule="atLeast"/>
        </w:trPr>
        <w:tc>
          <w:tcPr>
            <w:tcW w:w="8647" w:type="dxa"/>
            <w:gridSpan w:val="2"/>
            <w:tcBorders>
              <w:top w:val="nil"/>
              <w:left w:val="nil"/>
              <w:bottom w:val="nil"/>
              <w:right w:val="nil"/>
            </w:tcBorders>
            <w:tcMar>
              <w:top w:w="0" w:type="dxa"/>
              <w:left w:w="70" w:type="dxa"/>
              <w:bottom w:w="0" w:type="dxa"/>
              <w:right w:w="70" w:type="dxa"/>
            </w:tcMar>
            <w:vAlign w:val="bottom"/>
          </w:tcPr>
          <w:p w14:paraId="264875FE">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S = Taxa de seguro</w:t>
            </w:r>
          </w:p>
          <w:p w14:paraId="1C992E9A">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R = taxa de risco;</w:t>
            </w:r>
          </w:p>
          <w:p w14:paraId="52A3EF38">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G = Taxa de garantias</w:t>
            </w:r>
          </w:p>
          <w:p w14:paraId="64A4DAE9">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DF = taxa das despesas financeiras;</w:t>
            </w:r>
          </w:p>
        </w:tc>
      </w:tr>
      <w:tr w14:paraId="06643658">
        <w:tblPrEx>
          <w:tblCellMar>
            <w:top w:w="0" w:type="dxa"/>
            <w:left w:w="108" w:type="dxa"/>
            <w:bottom w:w="0" w:type="dxa"/>
            <w:right w:w="108" w:type="dxa"/>
          </w:tblCellMar>
        </w:tblPrEx>
        <w:trPr>
          <w:trHeight w:val="255" w:hRule="atLeast"/>
        </w:trPr>
        <w:tc>
          <w:tcPr>
            <w:tcW w:w="8647" w:type="dxa"/>
            <w:gridSpan w:val="2"/>
            <w:tcBorders>
              <w:top w:val="nil"/>
              <w:left w:val="nil"/>
              <w:bottom w:val="nil"/>
              <w:right w:val="nil"/>
            </w:tcBorders>
            <w:tcMar>
              <w:top w:w="0" w:type="dxa"/>
              <w:left w:w="70" w:type="dxa"/>
              <w:bottom w:w="0" w:type="dxa"/>
              <w:right w:w="70" w:type="dxa"/>
            </w:tcMar>
            <w:vAlign w:val="bottom"/>
          </w:tcPr>
          <w:p w14:paraId="2E8FB283">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L = taxa de lucro.</w:t>
            </w:r>
          </w:p>
        </w:tc>
      </w:tr>
      <w:tr w14:paraId="41E0EFB8">
        <w:tblPrEx>
          <w:tblCellMar>
            <w:top w:w="0" w:type="dxa"/>
            <w:left w:w="108" w:type="dxa"/>
            <w:bottom w:w="0" w:type="dxa"/>
            <w:right w:w="108" w:type="dxa"/>
          </w:tblCellMar>
        </w:tblPrEx>
        <w:trPr>
          <w:trHeight w:val="255" w:hRule="atLeast"/>
        </w:trPr>
        <w:tc>
          <w:tcPr>
            <w:tcW w:w="8647" w:type="dxa"/>
            <w:gridSpan w:val="2"/>
            <w:tcBorders>
              <w:top w:val="nil"/>
              <w:left w:val="nil"/>
              <w:bottom w:val="nil"/>
              <w:right w:val="nil"/>
            </w:tcBorders>
            <w:tcMar>
              <w:top w:w="0" w:type="dxa"/>
              <w:left w:w="70" w:type="dxa"/>
              <w:bottom w:w="0" w:type="dxa"/>
              <w:right w:w="70" w:type="dxa"/>
            </w:tcMar>
            <w:vAlign w:val="bottom"/>
          </w:tcPr>
          <w:p w14:paraId="472C9E82">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I = taxa de tributos;</w:t>
            </w:r>
          </w:p>
        </w:tc>
      </w:tr>
      <w:tr w14:paraId="6AFEB2E4">
        <w:tblPrEx>
          <w:tblCellMar>
            <w:top w:w="0" w:type="dxa"/>
            <w:left w:w="108" w:type="dxa"/>
            <w:bottom w:w="0" w:type="dxa"/>
            <w:right w:w="108" w:type="dxa"/>
          </w:tblCellMar>
        </w:tblPrEx>
        <w:trPr>
          <w:trHeight w:val="255" w:hRule="atLeast"/>
        </w:trPr>
        <w:tc>
          <w:tcPr>
            <w:tcW w:w="8647" w:type="dxa"/>
            <w:gridSpan w:val="2"/>
            <w:tcBorders>
              <w:top w:val="nil"/>
              <w:left w:val="nil"/>
              <w:bottom w:val="nil"/>
              <w:right w:val="nil"/>
            </w:tcBorders>
            <w:tcMar>
              <w:top w:w="0" w:type="dxa"/>
              <w:left w:w="70" w:type="dxa"/>
              <w:bottom w:w="0" w:type="dxa"/>
              <w:right w:w="70" w:type="dxa"/>
            </w:tcMar>
            <w:vAlign w:val="bottom"/>
          </w:tcPr>
          <w:p w14:paraId="4A7F79B6">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FF"/>
                <w:spacing w:val="0"/>
                <w:sz w:val="18"/>
                <w:szCs w:val="18"/>
                <w:u w:val="none"/>
                <w:lang w:val="pt-BR" w:bidi="ar-SA"/>
              </w:rPr>
              <w:t>CPRB = Contribuição previdenciária sobre a receia bruta (incluir 4,5% a partir de 01/12/2015, de acordo com o caso)</w:t>
            </w:r>
          </w:p>
          <w:p w14:paraId="19FDA331">
            <w:pPr>
              <w:pStyle w:val="143"/>
              <w:spacing w:line="276" w:lineRule="auto"/>
              <w:rPr>
                <w:rFonts w:ascii="Times New Roman" w:hAnsi="Times New Roman" w:cs="Times New Roman"/>
                <w:b w:val="0"/>
                <w:i w:val="0"/>
                <w:caps w:val="0"/>
                <w:smallCaps w:val="0"/>
                <w:strike w:val="0"/>
                <w:color w:val="000000"/>
                <w:spacing w:val="0"/>
                <w:sz w:val="20"/>
                <w:szCs w:val="20"/>
                <w:u w:val="none"/>
                <w:lang w:val="pt-BR" w:bidi="ar-SA"/>
              </w:rPr>
            </w:pPr>
          </w:p>
        </w:tc>
      </w:tr>
    </w:tbl>
    <w:p w14:paraId="0910C314"/>
    <w:p w14:paraId="0034D290">
      <w:pPr>
        <w:rPr>
          <w:rFonts w:ascii="Times New Roman" w:hAnsi="Times New Roman" w:cs="Times New Roman"/>
          <w:b w:val="0"/>
          <w:bCs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highlight w:val="none"/>
          <w:u w:val="none"/>
          <w:lang w:val="pt-BR" w:bidi="ar-SA"/>
        </w:rPr>
        <w:br w:type="page" w:clear="all"/>
      </w:r>
    </w:p>
    <w:p w14:paraId="0FFF816A">
      <w:pPr>
        <w:pStyle w:val="143"/>
        <w:pBdr>
          <w:top w:val="single" w:color="000000" w:sz="4" w:space="0"/>
          <w:left w:val="single" w:color="000000" w:sz="4" w:space="0"/>
          <w:bottom w:val="single" w:color="000000" w:sz="4" w:space="0"/>
          <w:right w:val="single" w:color="000000" w:sz="4" w:space="0"/>
        </w:pBdr>
        <w:shd w:val="clear" w:color="auto" w:fill="E0E0E0"/>
        <w:tabs>
          <w:tab w:val="left" w:pos="3068"/>
          <w:tab w:val="center" w:pos="4404"/>
        </w:tabs>
        <w:spacing w:line="276" w:lineRule="auto"/>
        <w:jc w:val="center"/>
        <w:rPr>
          <w:rFonts w:ascii="Book Antiqua" w:hAnsi="Book Antiqua" w:cs="Book Antiqua"/>
          <w:b/>
          <w:bCs w:val="0"/>
          <w:i w:val="0"/>
          <w:caps w:val="0"/>
          <w:smallCaps w:val="0"/>
          <w:strike w:val="0"/>
          <w:color w:val="000000"/>
          <w:spacing w:val="0"/>
          <w:sz w:val="18"/>
          <w:szCs w:val="18"/>
          <w:highlight w:val="none"/>
          <w:u w:val="none"/>
          <w:lang w:val="pt-BR" w:bidi="ar-SA"/>
        </w:rPr>
      </w:pPr>
      <w:r>
        <w:rPr>
          <w:rFonts w:ascii="Book Antiqua" w:hAnsi="Book Antiqua" w:cs="Book Antiqua"/>
          <w:b/>
          <w:i w:val="0"/>
          <w:caps w:val="0"/>
          <w:smallCaps w:val="0"/>
          <w:strike w:val="0"/>
          <w:color w:val="000000"/>
          <w:spacing w:val="0"/>
          <w:sz w:val="18"/>
          <w:szCs w:val="18"/>
          <w:u w:val="none"/>
          <w:lang w:val="pt-BR" w:bidi="ar-SA"/>
        </w:rPr>
        <w:t>ANEXO IX – MINUTA DE CONTRATO</w:t>
      </w:r>
    </w:p>
    <w:p w14:paraId="67EE7BA0">
      <w:pPr>
        <w:pStyle w:val="143"/>
        <w:tabs>
          <w:tab w:val="left" w:pos="8577"/>
          <w:tab w:val="left" w:pos="9719"/>
        </w:tabs>
        <w:spacing w:line="276" w:lineRule="auto"/>
        <w:jc w:val="center"/>
        <w:rPr>
          <w:rFonts w:ascii="Times New Roman" w:hAnsi="Times New Roman" w:cs="Times New Roman"/>
          <w:b w:val="0"/>
          <w:i w:val="0"/>
          <w:caps w:val="0"/>
          <w:smallCaps w:val="0"/>
          <w:strike w:val="0"/>
          <w:color w:val="000000"/>
          <w:spacing w:val="0"/>
          <w:sz w:val="20"/>
          <w:szCs w:val="20"/>
          <w:u w:val="none"/>
          <w:lang w:val="pt-BR" w:bidi="ar-SA"/>
        </w:rPr>
      </w:pPr>
    </w:p>
    <w:p w14:paraId="2C95E8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CONTRATO Nº ____ /2026 QUE, ENTRE SI, CELEBRAM A PREFEITURA MUNICIPAL DE RONDONÓPOLIS/MT E A EMPRESA __________________________________, PARA OS FINS QUE SE ESPECÍFICA.</w:t>
      </w:r>
    </w:p>
    <w:p w14:paraId="24453A8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92A18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Aos............ dias do mês de .......................... de 2026, de um lado a PREFEITURA MUNICIPAL DE RONDONÓPOLIS, Estado de Mato Grosso, inscrita no CNPJ/MF sob o nº _________________, neste ato representado por seu Prefeito, XXXXXXX, brasileiro(a), XXXXXXXXXX, R.G. nº __________, CPF nº ___________, no uso de suas atribuições, neste ato denominado simplesmente CONTRATANTE, e de outro lado, a XXXXXXXXXXXXXX, inscrita no CNPJ/MF sob o nº ______________, com sede na Cidade de Rondonópolis/MT, neste ato representada por seu XXXXXXXXXXX, __________, _____________, portador da carteira de identidade nº _______, e do CPF/MF n.º __________, denominada simplesmente CONTRATADA, tendo em vista o resultado da CONCORRÊNCIA  nº. ___/2026, do Tipo Menor Preço Global, consoante e decidido no processo administrativo nº _______________, resolvem celebrar o presente Contrato de Prestação de Serviços sujeitando-se às normas da Lei de Licitações e Contratos Administrativos nº 14.133, de 1º de abril de 2021, alterações e Decreto Municipal nº 11.685, de 18 de setembro de 2023 demais legislações pertinentes, com suas alterações posteriores, mediante as seguintes cláusulas e condições:</w:t>
      </w:r>
    </w:p>
    <w:p w14:paraId="4DDAAA6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2986F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PRIMEIRA – DO OBJETO</w:t>
      </w:r>
    </w:p>
    <w:p w14:paraId="0C90C77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35C367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1.1. O contrato tem por objeto </w:t>
      </w:r>
      <w:r>
        <w:rPr>
          <w:rFonts w:ascii="Book Antiqua" w:hAnsi="Book Antiqua" w:cs="Book Antiqua"/>
          <w:b w:val="0"/>
          <w:i w:val="0"/>
          <w:caps w:val="0"/>
          <w:smallCaps w:val="0"/>
          <w:strike w:val="0"/>
          <w:color w:val="000000"/>
          <w:spacing w:val="0"/>
          <w:sz w:val="18"/>
          <w:szCs w:val="18"/>
          <w:u w:val="none"/>
          <w:shd w:val="clear" w:color="auto" w:fill="FFFF00"/>
          <w:lang w:val="pt-BR" w:bidi="ar-SA"/>
        </w:rPr>
        <w:t>a “CONTRATAÇÃO DE EMPRESA DE ENGENHARIA PARA IMPLANTAÇÃO DE PAVIMENTAÇÃO ASFÁLTICA EM TSD NA RODOVIA VICINAL CAMPO LIMPO, SUBTRECHO ENTR. MT-483 COM EXTENSÃO DE 8,61 KM, NO MUNICÍPIO DE RONDONÓPOLIS – MT”</w:t>
      </w:r>
    </w:p>
    <w:p w14:paraId="752E6D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6A3DD2F">
      <w:pPr>
        <w:pStyle w:val="143"/>
        <w:numPr>
          <w:ilvl w:val="2"/>
          <w:numId w:val="8"/>
        </w:numPr>
        <w:tabs>
          <w:tab w:val="left" w:pos="566"/>
        </w:tabs>
        <w:spacing w:line="276" w:lineRule="auto"/>
        <w:ind w:left="0" w:right="0" w:firstLine="0"/>
        <w:jc w:val="both"/>
        <w:rPr>
          <w:rFonts w:ascii="Times New Roman" w:hAnsi="Times New Roman" w:cs="Times New Roman"/>
          <w:b w:val="0"/>
          <w:i w:val="0"/>
          <w:caps w:val="0"/>
          <w:smallCaps w:val="0"/>
          <w:strike w:val="0"/>
          <w:color w:val="000000"/>
          <w:spacing w:val="0"/>
          <w:sz w:val="20"/>
          <w:szCs w:val="20"/>
          <w:u w:val="single"/>
          <w:lang w:val="pt-BR" w:bidi="ar-SA"/>
        </w:rPr>
      </w:pPr>
      <w:r>
        <w:rPr>
          <w:rFonts w:ascii="Times New Roman" w:hAnsi="Times New Roman" w:cs="Times New Roman"/>
          <w:b w:val="0"/>
          <w:i w:val="0"/>
          <w:caps w:val="0"/>
          <w:smallCaps w:val="0"/>
          <w:strike w:val="0"/>
          <w:color w:val="000000"/>
          <w:spacing w:val="0"/>
          <w:sz w:val="20"/>
          <w:szCs w:val="20"/>
          <w:u w:val="single"/>
          <w:lang w:val="pt-BR" w:bidi="ar-SA"/>
        </w:rPr>
        <w:t xml:space="preserve">O </w:t>
      </w:r>
      <w:r>
        <w:rPr>
          <w:rFonts w:ascii="Book Antiqua" w:hAnsi="Book Antiqua" w:cs="Book Antiqua"/>
          <w:b w:val="0"/>
          <w:i w:val="0"/>
          <w:caps w:val="0"/>
          <w:smallCaps w:val="0"/>
          <w:strike w:val="0"/>
          <w:color w:val="000000"/>
          <w:spacing w:val="0"/>
          <w:sz w:val="18"/>
          <w:szCs w:val="18"/>
          <w:u w:val="single"/>
          <w:lang w:val="pt-BR" w:bidi="ar-SA"/>
        </w:rPr>
        <w:t>detalhamento dos serviços e etapas da obra encontra-se descrito no Projeto Básico, nas planilhas orçamentárias e nos memoriais descritivos que integram o presente edital, devendo a execução respeitar rigorosamente as especificações técnicas, normas da ABNT, instruções do DNIT e demais legislações aplicáveis.</w:t>
      </w:r>
    </w:p>
    <w:p w14:paraId="5B2B5DA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67D7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 Este Contrato se vincula ao EDITAL DE CONCORRÊNCIA nº. 10/2026 e seus anexos, e à proposta comercial apresentada pela Contratada para o referido processo licitatório.</w:t>
      </w:r>
    </w:p>
    <w:p w14:paraId="12624EE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3C3F5CB">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1.3. Para execução do objeto do presente instrumento, a CONTRATANTE pagará a CONTRATADA o valor total de R$ (......................................).</w:t>
      </w:r>
    </w:p>
    <w:p w14:paraId="76D87D14">
      <w:pPr>
        <w:pStyle w:val="143"/>
        <w:tabs>
          <w:tab w:val="left" w:pos="566"/>
        </w:tabs>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08EBD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1.4. A contratada terá o prazo de até 05 (cinco) dias úteis para assinatura do contrato, contados do dia seguinte ao da convocação.</w:t>
      </w:r>
    </w:p>
    <w:p w14:paraId="53FDD23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3B24C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SEGUNDA – DO REGIME DE EXECUÇÃO</w:t>
      </w:r>
    </w:p>
    <w:p w14:paraId="488159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2A3429C">
      <w:pPr>
        <w:pStyle w:val="146"/>
        <w:spacing w:after="240"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 xml:space="preserve">2.1. O objeto do presente contrato será executado sob a forma de execução indireta, em regime de </w:t>
      </w:r>
      <w:r>
        <w:rPr>
          <w:rFonts w:ascii="Book Antiqua" w:hAnsi="Book Antiqua" w:cs="Book Antiqua"/>
          <w:b/>
          <w:i w:val="0"/>
          <w:caps w:val="0"/>
          <w:smallCaps w:val="0"/>
          <w:strike w:val="0"/>
          <w:color w:val="000000"/>
          <w:spacing w:val="0"/>
          <w:sz w:val="18"/>
          <w:szCs w:val="18"/>
          <w:u w:val="none"/>
          <w:shd w:val="clear" w:color="auto" w:fill="FFFF00"/>
          <w:lang w:val="pt-BR" w:bidi="ar-SA"/>
        </w:rPr>
        <w:t>EMPREITADA POR PREÇO UNITÁRIO</w:t>
      </w:r>
      <w:r>
        <w:rPr>
          <w:rFonts w:ascii="Book Antiqua" w:hAnsi="Book Antiqua" w:cs="Book Antiqua"/>
          <w:b w:val="0"/>
          <w:i w:val="0"/>
          <w:caps w:val="0"/>
          <w:smallCaps w:val="0"/>
          <w:strike w:val="0"/>
          <w:color w:val="000000"/>
          <w:spacing w:val="0"/>
          <w:sz w:val="18"/>
          <w:szCs w:val="18"/>
          <w:u w:val="none"/>
          <w:shd w:val="clear" w:color="auto" w:fill="FFFF00"/>
          <w:lang w:val="pt-BR" w:bidi="ar-SA"/>
        </w:rPr>
        <w:t>, conforme especificações técnicas, quantitativos e condições estabelecidas no Projeto Básico, Estudo Técnico Preliminar (ETP), cronograma físico-financeiro e demais anexos que integram este contrato.</w:t>
      </w:r>
    </w:p>
    <w:p w14:paraId="12E2B87D">
      <w:pPr>
        <w:pStyle w:val="146"/>
        <w:spacing w:before="0" w:after="240"/>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 xml:space="preserve">2.2. No regime de </w:t>
      </w:r>
      <w:r>
        <w:rPr>
          <w:rFonts w:ascii="Book Antiqua" w:hAnsi="Book Antiqua" w:cs="Book Antiqua"/>
          <w:b/>
          <w:i w:val="0"/>
          <w:caps w:val="0"/>
          <w:smallCaps w:val="0"/>
          <w:strike w:val="0"/>
          <w:color w:val="000000"/>
          <w:spacing w:val="0"/>
          <w:sz w:val="18"/>
          <w:szCs w:val="18"/>
          <w:u w:val="none"/>
          <w:shd w:val="clear" w:color="auto" w:fill="FFFF00"/>
          <w:lang w:val="pt-BR" w:bidi="ar-SA"/>
        </w:rPr>
        <w:t>EMPREITADA POR PREÇO UNITÁRIO</w:t>
      </w:r>
      <w:r>
        <w:rPr>
          <w:rFonts w:ascii="Book Antiqua" w:hAnsi="Book Antiqua" w:cs="Book Antiqua"/>
          <w:b w:val="0"/>
          <w:i w:val="0"/>
          <w:caps w:val="0"/>
          <w:smallCaps w:val="0"/>
          <w:strike w:val="0"/>
          <w:color w:val="000000"/>
          <w:spacing w:val="0"/>
          <w:sz w:val="18"/>
          <w:szCs w:val="18"/>
          <w:u w:val="none"/>
          <w:shd w:val="clear" w:color="auto" w:fill="FFFF00"/>
          <w:lang w:val="pt-BR" w:bidi="ar-SA"/>
        </w:rPr>
        <w:t>, a Contratada se obriga a executar a totalidade da obra pelo preço certo e total proposto, abrangendo todos os custos diretos e indiretos, materiais, mão de obra, equipamentos, encargos trabalhistas, previdenciários, fiscais e comerciais, bem como quaisquer despesas necessárias à completa execução do objeto, conforme o art. 6º, XLIV, da Lei nº 14.133/2021.</w:t>
      </w:r>
    </w:p>
    <w:p w14:paraId="5341914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TERCEIRA – DA VIGÊNCIA E EXECUÇÃO</w:t>
      </w:r>
    </w:p>
    <w:p w14:paraId="6CE6F4D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058C23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3.1. O </w:t>
      </w:r>
      <w:r>
        <w:rPr>
          <w:rFonts w:ascii="Book Antiqua" w:hAnsi="Book Antiqua" w:cs="Book Antiqua"/>
          <w:b/>
          <w:i w:val="0"/>
          <w:caps w:val="0"/>
          <w:smallCaps w:val="0"/>
          <w:strike w:val="0"/>
          <w:color w:val="000000"/>
          <w:spacing w:val="0"/>
          <w:sz w:val="18"/>
          <w:szCs w:val="18"/>
          <w:u w:val="none"/>
          <w:lang w:val="pt-BR" w:bidi="ar-SA"/>
        </w:rPr>
        <w:t>prazo de vigência</w:t>
      </w:r>
      <w:r>
        <w:rPr>
          <w:rFonts w:ascii="Book Antiqua" w:hAnsi="Book Antiqua" w:cs="Book Antiqua"/>
          <w:b w:val="0"/>
          <w:i w:val="0"/>
          <w:caps w:val="0"/>
          <w:smallCaps w:val="0"/>
          <w:strike w:val="0"/>
          <w:color w:val="000000"/>
          <w:spacing w:val="0"/>
          <w:sz w:val="18"/>
          <w:szCs w:val="18"/>
          <w:u w:val="none"/>
          <w:lang w:val="pt-BR" w:bidi="ar-SA"/>
        </w:rPr>
        <w:t xml:space="preserve"> do contrato será de 15  (quinze) meses, contados a partir da data da assinatura do Instrumento Contratual.</w:t>
      </w:r>
    </w:p>
    <w:p w14:paraId="0762339F">
      <w:pPr>
        <w:pStyle w:val="215"/>
        <w:jc w:val="both"/>
        <w:rPr>
          <w:rFonts w:ascii="Times New Roman" w:hAnsi="Times New Roman" w:cs="Times New Roman"/>
          <w:b w:val="0"/>
          <w:i w:val="0"/>
          <w:caps w:val="0"/>
          <w:smallCaps w:val="0"/>
          <w:strike w:val="0"/>
          <w:color w:val="000000"/>
          <w:spacing w:val="0"/>
          <w:sz w:val="20"/>
          <w:szCs w:val="20"/>
          <w:u w:val="none"/>
          <w:lang w:val="pt-BR" w:bidi="hi-IN"/>
        </w:rPr>
      </w:pPr>
    </w:p>
    <w:p w14:paraId="58A05C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3.2. O</w:t>
      </w:r>
      <w:r>
        <w:rPr>
          <w:rFonts w:ascii="Book Antiqua" w:hAnsi="Book Antiqua" w:cs="Book Antiqua"/>
          <w:b/>
          <w:i w:val="0"/>
          <w:caps w:val="0"/>
          <w:smallCaps w:val="0"/>
          <w:strike w:val="0"/>
          <w:color w:val="000000"/>
          <w:spacing w:val="0"/>
          <w:sz w:val="18"/>
          <w:szCs w:val="18"/>
          <w:u w:val="none"/>
          <w:lang w:val="pt-BR" w:bidi="ar-SA"/>
        </w:rPr>
        <w:t xml:space="preserve"> prazo de execução</w:t>
      </w:r>
      <w:r>
        <w:rPr>
          <w:rFonts w:ascii="Book Antiqua" w:hAnsi="Book Antiqua" w:cs="Book Antiqua"/>
          <w:b w:val="0"/>
          <w:i w:val="0"/>
          <w:caps w:val="0"/>
          <w:smallCaps w:val="0"/>
          <w:strike w:val="0"/>
          <w:color w:val="000000"/>
          <w:spacing w:val="0"/>
          <w:sz w:val="18"/>
          <w:szCs w:val="18"/>
          <w:u w:val="none"/>
          <w:lang w:val="pt-BR" w:bidi="ar-SA"/>
        </w:rPr>
        <w:t xml:space="preserve"> do objeto será de 12 (doze) meses, contados a partir da data da assinatura do Instrumento Contratual.</w:t>
      </w:r>
    </w:p>
    <w:p w14:paraId="16A3845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C089C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QUARTA – DA RESPONSABILIDADE DO CONTRATANTE</w:t>
      </w:r>
    </w:p>
    <w:p w14:paraId="3F982E0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E93010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4.1. A Administração Municipal deverá indicar pelo menos um representante legal para acompanhar e fiscalizar a execução das atividades inerentes aos objetos contratados, conforme dispõe o art. 117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 xml:space="preserve">Lei nº 14.133, de 1º de abril de </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assim como, fazer cumprir fielmente o que estabelece este Edital e todas as demais disposições legais para contratação e execução dos serviços e obras viárias.</w:t>
      </w:r>
    </w:p>
    <w:p w14:paraId="6CD71D8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F4C3E7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4.2. A fiscalização deverá registrar as ocorrências e as deficiências verificadas, oficiando à licitante vencedora para a imediata correção das irregularidades apontadas.</w:t>
      </w:r>
    </w:p>
    <w:p w14:paraId="3B65D3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DBD089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4.3. Proporcionar todas as condições necessárias para que a Licitante vencedora possa cumprir o objeto desta licitação.</w:t>
      </w:r>
    </w:p>
    <w:p w14:paraId="5A21818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F30ED0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4.4. Fornecer a qualquer tempo e com o máximo de presteza, mediante solicitação escrita da Contratada, informações adicionais, dirimir dúvidas e orientá-la em casos omissos.</w:t>
      </w:r>
    </w:p>
    <w:p w14:paraId="2C12DA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96323B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4.5. A existência e a atuação da fiscalização da Administração Municipal em nada restringe a responsabilidade técnica única, integral e exclusiva da Licitante vencedora, no que concerne à execução do objeto contratado.</w:t>
      </w:r>
    </w:p>
    <w:p w14:paraId="43DBABE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B5C2A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4.6. Efetuar o pagamento mensal nas condições pactuadas.</w:t>
      </w:r>
    </w:p>
    <w:p w14:paraId="4128F74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73D85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4.7. Explicitamente emitir decisão sobre todas as solicitações e reclamações relacionadas à execução do Contrato, ressalvados os requerimentos manifestamente impertinentes, meramente protelatórios ou de nenhum interesse para a boa execução do ajuste.</w:t>
      </w:r>
    </w:p>
    <w:p w14:paraId="0456F52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3EA557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4.8. Responder eventuais pedidos de reestabelecimento do equilíbrio econômico-financeiro feitos pela Contratada no prazo máximo de 90 dias.</w:t>
      </w:r>
    </w:p>
    <w:p w14:paraId="6857654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64587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4.9. Notificar os emitentes das garantias quanto ao início de processo administrativo para apuração de descumprimento de cláusulas contratuais.</w:t>
      </w:r>
    </w:p>
    <w:p w14:paraId="64F4B53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3BA6C4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4.10. A Secretaria Municipal de Infraestrutura,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3644D72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AC8292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4.11. Outras obrigações definidas no Estudo Técnico Preliminar – ETP, Projeto Básico e na minuta de contrato constante neste Edital.</w:t>
      </w:r>
    </w:p>
    <w:p w14:paraId="0414D3F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B869D8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QUINTA – DO LOCAL, DAS CONDIÇÕES DE EXECUÇÃO E RECEBIMENTO DO OBJETO.</w:t>
      </w:r>
    </w:p>
    <w:p w14:paraId="10C630C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5CA7AC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 Os serviços de execução de obras de pavimentação asfáltica “CONTRATAÇÃO DE EMPRESA DE ENGENHARIA PARA IMPLANTAÇÃO DE PAVIMENTAÇÃO ASFÁLTICA EM TSD NA RODOVIA VICINAL CAMPO LIMPO, SUBTRECHO ENTR. MT-483 COM EXTENSÃO DE 8,61 KM, NO MUNICÍPIO DE RONDONÓPOLIS – MT”, obedecerão às especificações do Projeto Básico, memoriais descritivos, planilhas orçamentárias e demais elementos que integram o processo licitatório.</w:t>
      </w:r>
    </w:p>
    <w:p w14:paraId="61C2F341">
      <w:pPr>
        <w:pStyle w:val="213"/>
        <w:jc w:val="both"/>
        <w:rPr>
          <w:rFonts w:ascii="Liberation Serif" w:hAnsi="Liberation Serif" w:cs="Liberation Serif"/>
          <w:b w:val="0"/>
          <w:i w:val="0"/>
          <w:caps w:val="0"/>
          <w:smallCaps w:val="0"/>
          <w:strike w:val="0"/>
          <w:color w:val="000000"/>
          <w:spacing w:val="0"/>
          <w:sz w:val="24"/>
          <w:szCs w:val="24"/>
          <w:u w:val="none"/>
          <w:lang w:val="pt-PT" w:bidi="hi-IN"/>
        </w:rPr>
      </w:pPr>
    </w:p>
    <w:tbl>
      <w:tblPr>
        <w:tblStyle w:val="3"/>
        <w:tblW w:w="8475" w:type="dxa"/>
        <w:jc w:val="center"/>
        <w:tblLayout w:type="fixed"/>
        <w:tblCellMar>
          <w:top w:w="0" w:type="dxa"/>
          <w:left w:w="108" w:type="dxa"/>
          <w:bottom w:w="0" w:type="dxa"/>
          <w:right w:w="108" w:type="dxa"/>
        </w:tblCellMar>
      </w:tblPr>
      <w:tblGrid>
        <w:gridCol w:w="1826"/>
        <w:gridCol w:w="6650"/>
      </w:tblGrid>
      <w:tr w14:paraId="38C26F13">
        <w:tblPrEx>
          <w:tblCellMar>
            <w:top w:w="0" w:type="dxa"/>
            <w:left w:w="108" w:type="dxa"/>
            <w:bottom w:w="0" w:type="dxa"/>
            <w:right w:w="108" w:type="dxa"/>
          </w:tblCellMar>
        </w:tblPrEx>
        <w:trPr>
          <w:trHeight w:val="402" w:hRule="atLeast"/>
          <w:jc w:val="center"/>
        </w:trPr>
        <w:tc>
          <w:tcPr>
            <w:tcW w:w="182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C79BD93">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ar-SA"/>
              </w:rPr>
              <w:t>Avenida/Rua</w:t>
            </w:r>
          </w:p>
        </w:tc>
        <w:tc>
          <w:tcPr>
            <w:tcW w:w="6650"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ECDC3DB">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Rodovia Vicinal Campo Limpo, Subtrecho entre Mt-483</w:t>
            </w:r>
          </w:p>
        </w:tc>
      </w:tr>
      <w:tr w14:paraId="7E9623C6">
        <w:tblPrEx>
          <w:tblCellMar>
            <w:top w:w="0" w:type="dxa"/>
            <w:left w:w="108" w:type="dxa"/>
            <w:bottom w:w="0" w:type="dxa"/>
            <w:right w:w="108" w:type="dxa"/>
          </w:tblCellMar>
        </w:tblPrEx>
        <w:trPr>
          <w:trHeight w:val="400" w:hRule="atLeast"/>
          <w:jc w:val="center"/>
        </w:trPr>
        <w:tc>
          <w:tcPr>
            <w:tcW w:w="182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AAC1CE8">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ar-SA"/>
              </w:rPr>
              <w:t>Extensão</w:t>
            </w:r>
          </w:p>
        </w:tc>
        <w:tc>
          <w:tcPr>
            <w:tcW w:w="6650"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20C9DDF">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8,61 km</w:t>
            </w:r>
          </w:p>
        </w:tc>
      </w:tr>
      <w:tr w14:paraId="66D2DDC7">
        <w:tblPrEx>
          <w:tblCellMar>
            <w:top w:w="0" w:type="dxa"/>
            <w:left w:w="108" w:type="dxa"/>
            <w:bottom w:w="0" w:type="dxa"/>
            <w:right w:w="108" w:type="dxa"/>
          </w:tblCellMar>
        </w:tblPrEx>
        <w:trPr>
          <w:trHeight w:val="392" w:hRule="atLeast"/>
          <w:jc w:val="center"/>
        </w:trPr>
        <w:tc>
          <w:tcPr>
            <w:tcW w:w="1826"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7CB2361B">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ar-SA"/>
              </w:rPr>
              <w:t>Município</w:t>
            </w:r>
          </w:p>
        </w:tc>
        <w:tc>
          <w:tcPr>
            <w:tcW w:w="6650"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F79DFEB">
            <w:pPr>
              <w:pStyle w:val="213"/>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ar-SA"/>
              </w:rPr>
              <w:t>Rondonópolis/MT</w:t>
            </w:r>
          </w:p>
        </w:tc>
      </w:tr>
    </w:tbl>
    <w:p w14:paraId="669FDC20">
      <w:pPr>
        <w:pStyle w:val="213"/>
        <w:jc w:val="both"/>
        <w:rPr>
          <w:rFonts w:ascii="Liberation Serif" w:hAnsi="Liberation Serif" w:cs="Liberation Serif"/>
          <w:b w:val="0"/>
          <w:i w:val="0"/>
          <w:caps w:val="0"/>
          <w:smallCaps w:val="0"/>
          <w:strike w:val="0"/>
          <w:color w:val="000000"/>
          <w:spacing w:val="0"/>
          <w:sz w:val="24"/>
          <w:szCs w:val="24"/>
          <w:u w:val="none"/>
          <w:lang w:val="pt-PT" w:bidi="hi-IN"/>
        </w:rPr>
      </w:pPr>
    </w:p>
    <w:p w14:paraId="508257E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5.2. O início da execução dos serviços deverá ocorrer após a assinatura do instrumento contratual, conforme cláusula  terceira (item 3.2).</w:t>
      </w:r>
    </w:p>
    <w:p w14:paraId="44AF11B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BCC7E6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5.3. O objeto contratual será recebido pela Contratante na forma do art. 140 da Lei nº 14.133/2021, observados os seguintes procedimentos:</w:t>
      </w:r>
    </w:p>
    <w:p w14:paraId="4D919B5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F6ACA0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5.4. Provisoriamente, pelo responsável por seu acompanhamento e fiscalização, mediante termo circunstanciado, assinado pelas partes em até 15 (quinze) dias da comunicação escrita do contratado.</w:t>
      </w:r>
    </w:p>
    <w:p w14:paraId="25E533A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A0C04E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5.5. Definitivamente, por servidor ou comissão designada pela autoridade competente, mediante termo circunstanciado, assinado pelas partes, após o decurso do prazo de observação, ou vistoria que comprove a adequação do objeto aos termos contratuais, observado o disposto no art. 140 da Lei 14.133 de 2021.</w:t>
      </w:r>
    </w:p>
    <w:p w14:paraId="341581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DA9D8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5.6. Os serviços a serem executados preveem obediência às Normas Técnicas da ABNT e às normas dos fabricantes dos materiais e equipamentos.</w:t>
      </w:r>
    </w:p>
    <w:p w14:paraId="35920A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5D8AF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5.7. As condições de manutenção e assistência técnica estão vinculadas ao cumprimento das obrigações de contratada no tocante as exigências para o atendimento do objeto, até o seu recebimento definitivo.</w:t>
      </w:r>
    </w:p>
    <w:p w14:paraId="030AE5B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A84B4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5.8. A execução de todos os serviços observará o Projeto Básico, memoriais descritivos, planilhas orçamentárias e cronograma físico-financeiro aprovados pela Administração, sendo vedada qualquer modificação ou substituição de elementos técnicos sem prévia anuência da Fiscalização.</w:t>
      </w:r>
    </w:p>
    <w:p w14:paraId="7A3FB4F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2EA85E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5.9. Ao término dos serviços, o local deverá ser entregue limpo, desobstruído e livre de entulhos e resíduos, cabendo à Contratada dar destinação ambientalmente adequada aos materiais removidos, conforme Resolução CONAMA nº 307/2002.</w:t>
      </w:r>
    </w:p>
    <w:p w14:paraId="47357A2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D5D735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5.10. Sem prejuízo da plena responsabilidade da Contratada perante a Contratante ou terceiros, os serviços estarão sujeitos a mais ampla e irrestrita fiscalização, a qualquer hora, em toda a área abrangida pelos serviços.</w:t>
      </w:r>
    </w:p>
    <w:p w14:paraId="620188E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69EBF3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5.11. A fiscalização da Contratante solucionará todos os impasses quanto à substituição ou não de peças ou materiais, no todo ou em parte irrecuperáveis, ficando a seu cargo os critérios para tal. Qualquer alteração feita ao Projeto Básico ou ao Projeto Executivo após aprovação da CONTRATANTE deverá ser registrada no livro “Diário de Obras”. Ressalta-se que tal livro não poderá ser retirado, em hipótese alguma, do canteiro de obras/serviços até que o objeto pactuado por este contrato seja concluído e entregue mediante TERMO DE RECEBIMENTO DEFINITIVO DA OBRA/SERVIÇO.</w:t>
      </w:r>
    </w:p>
    <w:p w14:paraId="7D57954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C64CA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 A Contratada facilitará o acesso da fiscalização da Contratante a todas as dependências da obra/SERVIÇO. Antes de iniciar qualquer serviço, a Contratada pedirá anuência expressa da fiscalização da Contratante.</w:t>
      </w:r>
    </w:p>
    <w:p w14:paraId="4D96C23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188206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5.12.1. À fiscalização da Contratante fica assegurado o direito de:</w:t>
      </w:r>
    </w:p>
    <w:p w14:paraId="1B847A5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6194E3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5.12.2. Exigir o cumprimento de todos os itens e subitens do Projeto Básico e do Projeto Executivo.</w:t>
      </w:r>
    </w:p>
    <w:p w14:paraId="77CFB2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44952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5.12.3. Rejeitar todo e qualquer serviço mal-executado ou material de qualidade inferior ou diferente ao especificado em Projeto Básico, estipulando prazo para a sua retirada e refazimento do serviço, sob ônus da CONTRATADA.</w:t>
      </w:r>
    </w:p>
    <w:p w14:paraId="7DFD5FD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7AEDD2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5.12.4. A presença da fiscalização da Contratante na obra/SERVIÇO não diminuirá a responsabilidade da Contratada.</w:t>
      </w:r>
    </w:p>
    <w:p w14:paraId="3DE7FB7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290811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5.12.5. Fiscalização da Contratante acompanhará a execução dos serviços e examinará os materiais recebidos na obra/SERVIÇO, antes de suas aplicações, decidindo sobre aceitação ou rejeição dos mesmos.</w:t>
      </w:r>
    </w:p>
    <w:p w14:paraId="46EFCB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8BD55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5.12.6. As exigências da fiscalização da Contratante fundamentar-se-ão neste contrato, nas legislações e normas vigentes, no Projeto Básico e no Projeto Executivo fornecidos pela CONTRATANTE à CONTRATADA e nas regras de boa técnica.</w:t>
      </w:r>
    </w:p>
    <w:p w14:paraId="2A2F242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9F30B1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5.12.7. Caberá ao fiscal da Contratante o dever de:</w:t>
      </w:r>
    </w:p>
    <w:p w14:paraId="1CEDDD9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6DEC57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5.12.7.1. Fazer cumprir todas as disposições das especificações constantes do Projeto Básico e deste contrato.</w:t>
      </w:r>
    </w:p>
    <w:p w14:paraId="2E5431A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62B774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5.12.7.2. Decidir sobre as divergências de projeto e especificações, motivando a escolha tomada.</w:t>
      </w:r>
    </w:p>
    <w:p w14:paraId="7AB0D9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AAFEC9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5.12.8. Cabe à Contratada zelar pela proteção dos empregados e de terceiros, durante a execução das obras/serviços, seguindo as recomendações expressas na legislação pertinente e normas regulamentadoras quanto à engenharia de segurança e medicina do trabalho.</w:t>
      </w:r>
    </w:p>
    <w:p w14:paraId="0549642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0B2EDB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5.12.9. Em especial, os serviços objeto do presente CONTRATO deverão ser executados levando-se em conta o estipulado na NR-7 e NR-18, com vistas à Saúde, segurança e integridade física do trabalhador. A CONTRATADA deverá fornecer a todos os seus empregados todo os Equipamentos de Proteção Individual (EPI’s) e coletiva (EPC) necessários à sua segurança no trabalho, sem que seja imputado qualquer custo ao empregado ou à CONTRATANTE.</w:t>
      </w:r>
    </w:p>
    <w:p w14:paraId="602FE61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F06D43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5.12.10. A Contratada deverá manter na direção da obra/serviço um profissional habilitado, conforme apresentado em fase licitatória, com conhecimento que lhe permita a execução de todos os serviços, além dos demais elementos necessários à perfeita administração.</w:t>
      </w:r>
    </w:p>
    <w:p w14:paraId="3ADA561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CEB6F3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5.12.11. A Administração da obra/serviço deverá ser realizada por 1 (um) engenheiro, podendo prestar serviços de fiscalização por meio período e 1 (um) Encarregado Geral, devendo este prestar serviços em período integral.</w:t>
      </w:r>
    </w:p>
    <w:p w14:paraId="7FB9082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4B7C0E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5.12.12. Caberá à Contratada providenciar o pessoal necessário à execução dos serviços, serventes e oficiais especializados, de competência comprovada, para obtenção de resultados na execução dos serviços.</w:t>
      </w:r>
    </w:p>
    <w:p w14:paraId="3642092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098F5D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5.12.13. A execução do objeto deve ser realizada conforme as instruções e especificações contidas em anexos e editais e anexos, observando o disposto nas Normas Técnicas Brasileiras da Associação Brasileira de Notas Técnicas – ABNT, nas normas e disposições dos Conselhos de Classe, bem como nas legislações, regulamentações e instruções vigentes que se apliquem aos itens que compõem o objeto da contratação.</w:t>
      </w:r>
    </w:p>
    <w:p w14:paraId="07BDCF5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1222D8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5.12.14. Na execução dos serviços será obrigatória a sinalização do local conforme legislação de trânsito, de maneira que acidentes envolvendo condutores e equipe de execução possam ocorrer. Trechos com pontos críticos, com riscos iminentes de acidentes, devem ser priorizados de forma cronológica em detrimento a outros trechos com menor incidência de acidentes.</w:t>
      </w:r>
    </w:p>
    <w:p w14:paraId="6524579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2CFFF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5.12.15. As especificações para a execução do objeto do presente contrato são aquelas constantes do Projeto Básico, parte integrante deste instrumento, às quais a Contratada declara ter pleno conhecimento e se obriga a cumprir fielmente.</w:t>
      </w:r>
    </w:p>
    <w:p w14:paraId="0D65894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B4F0E4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SEXTA – DAS RESPONSABILIDADES DA CONTRATADA.</w:t>
      </w:r>
    </w:p>
    <w:p w14:paraId="0C9999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0446E9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 Executar os serviços, objeto desta licitação, observando o Projeto Básico e, de modo geral, as Especificações e as Normas Técnicas vigentes, aquelas complementares e particulares e outras pertinentes aos serviços em licitação, constantes dos respectivos projetos, as instruções, recomendações e determinações da Fiscalização e, quando houver, da Supervisão e dos Órgãos Ambientais.</w:t>
      </w:r>
    </w:p>
    <w:p w14:paraId="545D137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58523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 Elaborar e manter o Diário de Obras, que será preenchido diariamente pelo engenheiro residente da empresa e pelo fiscal da Administração Pública. Ao término de cada mês, uma via do Diário de Obras deverá ser anexada à medição mensal dos serviços executados, devendo permanecer outra via arquivada no canteiro de obras da empresa.</w:t>
      </w:r>
    </w:p>
    <w:p w14:paraId="14FF4C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10700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 Prestar os serviços dentro dos parâmetros e rotinas estabelecidos, fornecendo todos os materiais, equipamentos e utensílios em quantidade, qualidade e tecnologia adequadas, com a observância às recomendações aceitas pela boa técnica, normas e legislação.</w:t>
      </w:r>
    </w:p>
    <w:p w14:paraId="2A66BBC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A71F5B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6.4. Manter em perfeito estado de limpeza os locais afetados pela execução dos serviços, recolhendo os entulhos, dando-lhes o destino adequado.</w:t>
      </w:r>
    </w:p>
    <w:p w14:paraId="57BD09E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0C68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6.5. Prestar assessoria técnica com orientações, sugestões, instruções ou recomendações, exemplos de aplicação em outros serviços e assistências técnicas de interesse do Município de Rondonópolis/MT em relação a serviços e atividades que envolvam o objeto do contrato, fornecendo normas para aperfeiçoar e garantir eficiência aos serviços.</w:t>
      </w:r>
    </w:p>
    <w:p w14:paraId="52C04B4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0D94B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6.6. Manter, durante a execução dos serviços, o pessoal devidamente uniformizado, limpo, em boas condições de higiene e segurança, identificados com crachás e usando, quando for o caso, equipamento de proteção individual (EPI) apropriado. Assegurar aos seus trabalhadores ambiente de trabalho, inclusive equipamentos e instalações, em condições adequadas ao cumprimento das normas de saúde, segurança e bem-estar no trabalho.</w:t>
      </w:r>
    </w:p>
    <w:p w14:paraId="1169E67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C22197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6.7. Comunicar a Secretaria de Infraestrutura, sempre que for iniciar uma atividade ou da conclusão de atividades em execução, mantendo estreita comunicação com a fiscalização.</w:t>
      </w:r>
    </w:p>
    <w:p w14:paraId="1D0EEAE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C787D7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6.8. Pagar em dia os salários e demais benefícios aos seus empregados, bem como recolher, no prazo legal, todos os encargos e tributos.</w:t>
      </w:r>
    </w:p>
    <w:p w14:paraId="204F6EE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EFD9C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6.9. Sempre que solicitado pelo Fiscal do contrato, comprovar a vinculação dos funcionários ao contrato.</w:t>
      </w:r>
    </w:p>
    <w:p w14:paraId="65BEE6A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AC99AD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6.10. Manter durante toda a vigência do contrato, em compatibilidade com as obrigações assumidas, todas as condições de habilitação e qualificação exigidas na licitação.</w:t>
      </w:r>
    </w:p>
    <w:p w14:paraId="5C0BCB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C9410B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6.11. Refazer, às suas expensas, os trabalhos executados em desacordo com o estabelecido no instrumento contratual, no Projeto Básico ou o Projeto Executivo, bem como substituir aqueles realizados com materiais defeituosos ou com vício de construção, pelo prazo de 05 (cinco) anos, contado da data de emissão do Termo de Recebimento Definitivo.</w:t>
      </w:r>
    </w:p>
    <w:p w14:paraId="6455C1A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999933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6.12. Responsabilizar-se pela perfeita execução e completo acabamento dos serviços contratados, obrigando-se a prestar assistência técnica e administrativa necessária para assegurar andamento conveniente dos trabalhos.</w:t>
      </w:r>
    </w:p>
    <w:p w14:paraId="72E1A22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BEEBB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6.13. Submeter à fiscalização as amostras de todos os materiais a serem empregados nos serviços antes da sua execução, quando solicitado.</w:t>
      </w:r>
    </w:p>
    <w:p w14:paraId="121FDD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86E2D8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6.14. Responsabilizar-se pelos ônus resultantes de quaisquer ações, demandas, custos e despesas decorrentes de danos, ocorridos por culpa sua ou de qualquer de seus empregados e prepostos, obrigando-se por quaisquer responsabilidades decorrentes de ações judiciais movidas por terceiros, que lhe venham a ser exigidas por força de lei, ligadas ao cumprimento do presente edital.</w:t>
      </w:r>
    </w:p>
    <w:p w14:paraId="55BE82E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13C3D6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6.15. Responder por danos materiais, ou físicos, causados por seus empregados diretamente ao Município de Rondonópolis/MT ou a terceiros, decorrentes de sua culpa ou dolo.</w:t>
      </w:r>
    </w:p>
    <w:p w14:paraId="792D249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8970E9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6.16. Prestar esclarecimentos a Administração Pública sobre eventuais atos ou fatos noticiados que a envolva, independentemente de solicitação.</w:t>
      </w:r>
    </w:p>
    <w:p w14:paraId="68199A0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E62D54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6.17. Comunicar ao Fiscal do contrato, no prazo de 24 (vinte e quatro) horas, qualquer ocorrência anormal ou acidente que se verifique no local dos serviços.</w:t>
      </w:r>
    </w:p>
    <w:p w14:paraId="7006CB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1EF85B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6.18. Paralisar, por determinação da Contratante, qualquer atividade que não esteja sendo executada de acordo com a boa técnica ou que ponha em risco a segurança de pessoas ou bens de terceiros.</w:t>
      </w:r>
    </w:p>
    <w:p w14:paraId="518D79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24F638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6.19. A empresa deverá manter no canteiro de obras cópia do contrato, CREA e ART do engenheiro responsável técnico, licenças ambientais e demais documentos referentes aos serviços.</w:t>
      </w:r>
    </w:p>
    <w:p w14:paraId="613FFE4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F98AFA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6.20. O descumprimento total ou parcial das obrigações e responsabilidades assumidas pela Contratada, sobretudo quanto às obrigações e encargos sociais e trabalhistas, ensejará a aplicação de sanções administrativas, previstas no Edital, Contrato e na legislação vigente, podendo culminar em extinção do contrato, conforme disposto nos art. 155 e 156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27FFAB9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CBAF6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6.21. Realizar, às suas custas, ensaios e testes de controle de qualidade de materiais, serviços e equipamentos, em laboratórios previamente aprovados pela fiscalização, conforme previsto no </w:t>
      </w:r>
      <w:r>
        <w:rPr>
          <w:rFonts w:ascii="Times New Roman" w:hAnsi="Times New Roman" w:cs="Times New Roman"/>
          <w:b w:val="0"/>
          <w:i w:val="0"/>
          <w:caps w:val="0"/>
          <w:smallCaps w:val="0"/>
          <w:strike w:val="0"/>
          <w:color w:val="000000"/>
          <w:spacing w:val="0"/>
          <w:sz w:val="20"/>
          <w:szCs w:val="20"/>
          <w:u w:val="none"/>
          <w:lang w:val="pt-BR" w:bidi="ar-SA"/>
        </w:rPr>
        <w:t>Projeto Básico</w:t>
      </w:r>
      <w:r>
        <w:rPr>
          <w:rFonts w:ascii="Book Antiqua" w:hAnsi="Book Antiqua" w:cs="Book Antiqua"/>
          <w:b w:val="0"/>
          <w:i w:val="0"/>
          <w:caps w:val="0"/>
          <w:smallCaps w:val="0"/>
          <w:strike w:val="0"/>
          <w:color w:val="000000"/>
          <w:spacing w:val="0"/>
          <w:sz w:val="18"/>
          <w:szCs w:val="18"/>
          <w:u w:val="none"/>
          <w:lang w:val="pt-BR" w:bidi="ar-SA"/>
        </w:rPr>
        <w:t xml:space="preserve"> e no </w:t>
      </w:r>
      <w:r>
        <w:rPr>
          <w:rFonts w:ascii="Times New Roman" w:hAnsi="Times New Roman" w:cs="Times New Roman"/>
          <w:b w:val="0"/>
          <w:i w:val="0"/>
          <w:caps w:val="0"/>
          <w:smallCaps w:val="0"/>
          <w:strike w:val="0"/>
          <w:color w:val="000000"/>
          <w:spacing w:val="0"/>
          <w:sz w:val="20"/>
          <w:szCs w:val="20"/>
          <w:u w:val="none"/>
          <w:lang w:val="pt-BR" w:bidi="ar-SA"/>
        </w:rPr>
        <w:t>Projeto Executivo</w:t>
      </w:r>
      <w:r>
        <w:rPr>
          <w:rFonts w:ascii="Book Antiqua" w:hAnsi="Book Antiqua" w:cs="Book Antiqua"/>
          <w:b w:val="0"/>
          <w:i w:val="0"/>
          <w:caps w:val="0"/>
          <w:smallCaps w:val="0"/>
          <w:strike w:val="0"/>
          <w:color w:val="000000"/>
          <w:spacing w:val="0"/>
          <w:sz w:val="18"/>
          <w:szCs w:val="18"/>
          <w:u w:val="none"/>
          <w:lang w:val="pt-BR" w:bidi="ar-SA"/>
        </w:rPr>
        <w:t>.</w:t>
      </w:r>
    </w:p>
    <w:p w14:paraId="4D2862E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3142A2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6.22. 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14:paraId="3291DE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2E642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6.23. Obter junto aos órgãos competentes, conforme o caso, as licenças necessárias e demais documentos e autorizações exigíveis, na forma da legislação aplicável.</w:t>
      </w:r>
    </w:p>
    <w:p w14:paraId="7151C30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EA5B51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6.24. Adotar as providências e precauções necessárias, inclusive consulta nos respectivos órgãos, se necessário for, a fim de que não venham a ser danificadas as redes hidrossanitárias, elétricas e de comunicação.</w:t>
      </w:r>
    </w:p>
    <w:p w14:paraId="6BEE5B9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391ED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6.25. Alocar profissionais altamente especializados para o desenvolvimento dos trabalhos. A qualquer tempo, a Fiscalização poderá solicitar a substituição de qualquer membro da equipe técnica da licitante vencedora, desde que entenda que seja benéfico ao desenvolvimento dos trabalhos.</w:t>
      </w:r>
    </w:p>
    <w:p w14:paraId="54EB0F3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4530F8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6.26. Guardar sigilo sobre todas as informações obtidas em decorrência do cumprimento do contrato.</w:t>
      </w:r>
    </w:p>
    <w:p w14:paraId="102DA1F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465F8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6.27. Não permitir a utilização de qualquer trabalho do menor de dezesseis anos, exceto na condição de aprendiz para os maiores de quatorze anos; nem permitir a utilização do trabalho do menor de dezoito anos em trabalho noturno, perigoso ou insalubre.</w:t>
      </w:r>
    </w:p>
    <w:p w14:paraId="05B522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80D2B8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6.28. Submeter previamente, por escrito, à Contratante, para análise e aprovação, quaisquer mudanças nos métodos executivos que fujam às especificações do memorial descritivo.</w:t>
      </w:r>
    </w:p>
    <w:p w14:paraId="1FB2C21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F0B6A0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6.29. 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w:t>
      </w:r>
      <w:r>
        <w:fldChar w:fldCharType="begin"/>
      </w:r>
      <w:r>
        <w:instrText xml:space="preserve"> HYPERLINK \l "ttps://www.planalto.gov.br/ccivil_03/_ato2015-2018/2015/lei/l13146.htm" \o "#ttps://www.planalto.gov.br/ccivil_03/_ato2015-2018/2015/lei/l13146.htm"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13.146, de 2015</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(art. 116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4B62CEC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CD8B4C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6.30.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w:t>
      </w:r>
      <w:r>
        <w:fldChar w:fldCharType="begin"/>
      </w:r>
      <w:r>
        <w:instrText xml:space="preserve"> HYPERLINK \l "ttps://www.planalto.gov.br/ccivil_03/_ato2019-2022/2021/lei/l14133.htm" \o "#ttps://www.planalto.gov.br/ccivil_03/_ato2019-2022/2021/lei/l14133.htm"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7FCF38B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2E5AA0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6.31. Observar as diretrizes, critérios e procedimentos para a gestão dos resíduos da construção civil estabelecidos na </w:t>
      </w:r>
      <w:r>
        <w:fldChar w:fldCharType="begin"/>
      </w:r>
      <w:r>
        <w:instrText xml:space="preserve"> HYPERLINK \l "ttps://cetesb.sp.gov.br/licenciamento/documentos/2002_Res_CONAMA_307.pdf" \o "#ttps://cetesb.sp.gov.br/licenciamento/documentos/2002_Res_CONAMA_307.pdf"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Resolução nº 307, de 05 de julho de 2002</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com as alterações, do Conselho Nacional de Meio Ambiente - CONAMA, conforme art. 4°, §§ 2° e 3°, da </w:t>
      </w:r>
      <w:r>
        <w:fldChar w:fldCharType="begin"/>
      </w:r>
      <w:r>
        <w:instrText xml:space="preserve"> HYPERLINK \l "ttps://www.ibama.gov.br/sophia/cnia/legislacao/MPOG/IN0001-190110.PDF" \o "#ttps://www.ibama.gov.br/sophia/cnia/legislacao/MPOG/IN0001-190110.PDF" </w:instrText>
      </w:r>
      <w:r>
        <w:fldChar w:fldCharType="separate"/>
      </w:r>
      <w:r>
        <w:rPr>
          <w:rStyle w:val="247"/>
          <w:rFonts w:ascii="Book Antiqua" w:hAnsi="Book Antiqua" w:cs="Book Antiqua"/>
          <w:b w:val="0"/>
          <w:i w:val="0"/>
          <w:caps w:val="0"/>
          <w:smallCaps w:val="0"/>
          <w:strike w:val="0"/>
          <w:color w:val="000000"/>
          <w:spacing w:val="0"/>
          <w:sz w:val="18"/>
          <w:szCs w:val="18"/>
          <w:u w:val="none"/>
          <w:lang w:val="pt-BR" w:bidi="ar-SA"/>
        </w:rPr>
        <w:t>Instrução Normativa SLTI/MP n° 1, de 19 de janeiro de 2010</w:t>
      </w:r>
      <w:r>
        <w:rPr>
          <w:rStyle w:val="247"/>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055DE51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7F2464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6.32. 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524AAE73">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p>
    <w:p w14:paraId="68076056">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val="0"/>
          <w:i w:val="0"/>
          <w:caps w:val="0"/>
          <w:smallCaps w:val="0"/>
          <w:strike w:val="0"/>
          <w:color w:val="000000"/>
          <w:spacing w:val="0"/>
          <w:sz w:val="18"/>
          <w:szCs w:val="18"/>
          <w:u w:val="none"/>
          <w:lang w:val="pt-BR" w:bidi="hi-IN"/>
        </w:rPr>
        <w:t>6.33. Receber e dar o tratamento adequado a denúncias de discriminação, violência e assédio no ambiente de trabalho.</w:t>
      </w:r>
    </w:p>
    <w:p w14:paraId="6ED3B8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DE38B7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6.34. A execução dos serviços observará integralmente o Projeto Básico e a minuta contratual, sendo vedada a elaboração de projeto executivo pela contratada, tendo em vista o regime de </w:t>
      </w:r>
      <w:r>
        <w:rPr>
          <w:rFonts w:ascii="Book Antiqua" w:hAnsi="Book Antiqua" w:cs="Book Antiqua"/>
          <w:b/>
          <w:i w:val="0"/>
          <w:caps w:val="0"/>
          <w:smallCaps w:val="0"/>
          <w:strike w:val="0"/>
          <w:color w:val="000000"/>
          <w:spacing w:val="0"/>
          <w:sz w:val="18"/>
          <w:szCs w:val="18"/>
          <w:u w:val="none"/>
          <w:lang w:val="pt-BR" w:bidi="ar-SA"/>
        </w:rPr>
        <w:t>EMPREITADA POR PREÇO UNITÁRIO</w:t>
      </w:r>
    </w:p>
    <w:p w14:paraId="7BAF2AA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3E3A0F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6.35 - A CONTRATADA se obriga a permitir que a auditoria interna da CONTRATANTE por ela indicada, tenha acesso a todos os documentos fiscais e contábeis que digam respeito aos serviços fornecidos à CONTRATANTE.</w:t>
      </w:r>
    </w:p>
    <w:p w14:paraId="21145B7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0DEF1D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SÉTIMA – DOS ENCARGOS CONTRATUAIS</w:t>
      </w:r>
    </w:p>
    <w:p w14:paraId="7A9C53C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3E15E1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7.1. A Contratada é responsável por todas as providências e obrigações referentes à legislação específica de acidentes de trabalho quando de ocorrências em que forem vítimas os seus funcionários, no desempenho dos serviços ou em conexão com eles.</w:t>
      </w:r>
    </w:p>
    <w:p w14:paraId="43376E7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5EC0C4B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7.2. A Contratada, como única e exclusiva responsável pela execução do objeto contratual, responde civil e criminalmente por todos os danos, perdas e prejuízos que, por dolo ou culpa sua, de seus empregados, prepostos ou terceiros, no exercício de suas atividades, vier, direta ou indiretamente, causar ou provocar à Contratante ou a terceiros.</w:t>
      </w:r>
    </w:p>
    <w:p w14:paraId="3067EEF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p>
    <w:p w14:paraId="4683E6C5">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7.3. À Contratada caberão todas as despesas peculiares à EMPREITADA POR PREÇO UNITÁRIO, compreendendo, entre outras, serviços gerais, transporte horizontal e vertical, mão de obra, materiais, instalações provisórias e definitivas, encargos sociais, trabalhistas, previdenciários e fiscais decorrentes, bem como os relativos aos registros junto ao CREA e às licenças ambientais. Cabe ainda à Contratada, por todo o período de execução das obras/serviços, manter os seguros legalmente exigíveis.</w:t>
      </w:r>
    </w:p>
    <w:p w14:paraId="369AB31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p>
    <w:p w14:paraId="71CFC0F5">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00"/>
          <w:lang w:val="pt-BR" w:bidi="ar-SA"/>
        </w:rPr>
      </w:pPr>
      <w:r>
        <w:rPr>
          <w:rFonts w:ascii="Book Antiqua" w:hAnsi="Book Antiqua" w:cs="Book Antiqua"/>
          <w:b w:val="0"/>
          <w:i w:val="0"/>
          <w:caps w:val="0"/>
          <w:smallCaps w:val="0"/>
          <w:strike w:val="0"/>
          <w:color w:val="000000"/>
          <w:spacing w:val="0"/>
          <w:sz w:val="18"/>
          <w:szCs w:val="18"/>
          <w:u w:val="none"/>
          <w:shd w:val="clear" w:color="auto" w:fill="FFFF00"/>
          <w:lang w:val="pt-BR" w:bidi="ar-SA"/>
        </w:rPr>
        <w:t>7.4. Por se tratar de EMPREITADA POR PREÇO UNITÁRIO, os preços contratados constituirão a única e completa remuneração pela execução integral do objeto, incluindo materiais, serviços e encargos descritos no item anterior, não cabendo nenhum pagamento adicional. A inadimplência da Contratada em relação a tais encargos não transfere à Contratante qualquer responsabilidade, nem poderá onerar o objeto contratual.</w:t>
      </w:r>
    </w:p>
    <w:p w14:paraId="752641F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B3ABA6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OITAVA – DO VALOR</w:t>
      </w:r>
    </w:p>
    <w:p w14:paraId="0EAB624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AB7913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8.1. Ao presente contrato é dado o valor global de R$______, __ (__________).</w:t>
      </w:r>
    </w:p>
    <w:p w14:paraId="672476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068EFB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NONA – DAS MEDIÇÕES E CONDIÇÕES DE PAGAMENTO</w:t>
      </w:r>
    </w:p>
    <w:p w14:paraId="593492D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394E84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 A emissão da Nota Fiscal/Fatura deve ser precedida do recebimento definitivo dos serviços, nos termos abaixo:</w:t>
      </w:r>
    </w:p>
    <w:p w14:paraId="4E7A68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673BEBD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 Ao final de cada etapa da execução contratual, conforme previsto no Cronograma Físico-Financeiro, a Contratada, apresentará a medição prévia dos serviços executados no período, através de planilha e memória de cálculo detalhada.</w:t>
      </w:r>
    </w:p>
    <w:p w14:paraId="56E50EB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4DA67C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9.1.2. Uma etapa será considerada efetivamente concluída quando os serviços previstos para aquela etapa, no Cronograma Físico-Financeiro, estiverem executados em sua totalidade.</w:t>
      </w:r>
    </w:p>
    <w:p w14:paraId="17F78D2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4754C0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9.1.3. A Contratada também apresentará, a cada medição, os documentos comprobatórios da procedência legal dos produtos e subprodutos utilizados naquela etapa da execução contratual, quando for o caso.</w:t>
      </w:r>
    </w:p>
    <w:p w14:paraId="5599DF0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E75C3D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9.1.4. Ao final de cada período de faturamento, o fiscal técnico do contrato apurará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1BD26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2E65EA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9.1.5.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804A73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A8F5C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9.1.6. A aprovação da medição prévia apresentada pela Contratada não a exime de qualquer das responsabilidades contratuais, nem implica aceitação definitiva dos serviços executados.</w:t>
      </w:r>
    </w:p>
    <w:p w14:paraId="6711EAE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277132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9.1.7. Os serviços poderão ser rejeitados, no todo ou em parte, quando em desacordo com as especificações, devendo ser corrigidos/refeitos/substituídos no prazo fixado pelo fiscal do contrato, às custas da Contratada, sem prejuízo da aplicação de penalidades.</w:t>
      </w:r>
    </w:p>
    <w:p w14:paraId="3E922A2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584913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9.1.8. O pagamento será efetuado à empresa Contratada no prazo de até 30 (trinta) dias corridos, de acordo com o cronograma físico-financeiro constante do Projeto Básico, contados da data do atesto da área competente da Prefeitura, aposto nos documentos de cobrança, e de acordo com a evolução da obra, conforme cronograma físico-financeiro apresentado pela Secretaria Demandante. Não será efetuado qualquer pagamento à Contratada enquanto perdurar pendência de liquidação de obrigações em virtude de penalidades ou inadimplência contratual.</w:t>
      </w:r>
    </w:p>
    <w:p w14:paraId="3092E82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B60F3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9.1.9. Não será efetuado qualquer pagamento à Contratada enquanto perdurar pendência de liquidação de obrigações em virtude de penalidades ou inadimplência contratual.</w:t>
      </w:r>
    </w:p>
    <w:p w14:paraId="10E75D8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9058C7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9.1.10. A liberação do pagamento ficará condicionada a consulta prévia ao Sistema de Cadastramento da Prefeitura para verificação da situação da Contratada em relação às condições de habilitação e qualificação exigidas, cujo resultado será impresso e juntado aos autos do processo.</w:t>
      </w:r>
    </w:p>
    <w:p w14:paraId="2913270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EA7AB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9.1.11. O Contratante pagará a(s) Nota(s) Fiscal (is) / Fatura(s) somente à Contratada, vedada sua negociação com terceiros ou sua colocação em cobrança bancária.</w:t>
      </w:r>
    </w:p>
    <w:p w14:paraId="2EE95E3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0FE3D98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9.1.12.  A empresa Contratada deverá fazer constar na Nota Fiscal/Fatura correspondente, emitida sem rasura, e em letra bem legível, o número de sua conta-corrente, o nome do Banco e a respectiva Agência.</w:t>
      </w:r>
    </w:p>
    <w:p w14:paraId="7A931DC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32E840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9.1.13. A Fiscalização da Prefeitura somente atestará a execução dos serviços e liberará a Nota Fiscal para pagamento, quando cumpridas, pela CONTRATADA, todas as condições pactuadas.</w:t>
      </w:r>
    </w:p>
    <w:p w14:paraId="3CBE30B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0A0B6A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9.1.14. Os pagamentos serão efetuados por etapas de serviços executados, de acordo com o cronograma físico-financeiro e planilha orçamentária apresentada, não se admitindo em nenhuma hipótese o pagamento de materiais entregues no local do objeto.</w:t>
      </w:r>
    </w:p>
    <w:p w14:paraId="0EE9687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BC4EF6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9.1.15. Para efeito de pagamento das etapas de serviços executados, será observado o que estabelecem as legislações vigentes do INSS e FGTS quanto aos procedimentos de retenção, recolhimento e fiscalizações relativas aos encargos previdenciários.</w:t>
      </w:r>
    </w:p>
    <w:p w14:paraId="3BBD669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03A6F9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9.1.16.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Prefeitura.</w:t>
      </w:r>
    </w:p>
    <w:p w14:paraId="136CA3D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1367FE8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9.1.17. O prazo para liquidação será de 15 (quinze) dias úteis.</w:t>
      </w:r>
    </w:p>
    <w:p w14:paraId="5C1F1B6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1712649">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single"/>
          <w:lang w:val="pt-BR" w:bidi="ar-SA"/>
        </w:rPr>
        <w:t>9.1.18. Após 30 (trinta) dias da data em que deveria ser efetuado o pagamento das faturas, incidirá sobre o valor faturado atualização monetária com base no Índice Nacional de Preços ao Consumidor Amplo (IPCA) ou Índice Geral de Preços – Mercado (IGP-M), sendo que sempre será utilizado o índice de menor percentual.</w:t>
      </w:r>
    </w:p>
    <w:p w14:paraId="2A836BB8">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0C994F3E">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5DD9A55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DÉCIMA – DOS ACRÉSCIMOS E/OU SUPRESSÕES</w:t>
      </w:r>
    </w:p>
    <w:p w14:paraId="61A3F8C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9F6B04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10.1. Nos termos do art. 125, da Lei n° 14.133, de 2021, a Contratada ficará obrigada a aceitar, nas mesmas condições contratuais, os acréscimos ou supressões que se fizerem necessários, até o limite legal do valor inicial atualizado do contrato.</w:t>
      </w:r>
    </w:p>
    <w:p w14:paraId="36DB3CB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198A1A4">
      <w:pPr>
        <w:pStyle w:val="143"/>
        <w:spacing w:line="276" w:lineRule="auto"/>
        <w:jc w:val="both"/>
        <w:rPr>
          <w:rFonts w:ascii="Times New Roman" w:hAnsi="Times New Roman" w:cs="Times New Roman"/>
          <w:b w:val="0"/>
          <w:bCs w:val="0"/>
          <w:i w:val="0"/>
          <w:caps w:val="0"/>
          <w:smallCaps w:val="0"/>
          <w:strike w:val="0"/>
          <w:color w:val="000000"/>
          <w:spacing w:val="0"/>
          <w:sz w:val="20"/>
          <w:szCs w:val="20"/>
          <w:highlight w:val="none"/>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10.2. Os preços contratuais, em Reais, poderão ser reajustados pelos Índices utilizados pelo DNIT, para o Setor Rodoviário, apurados e fornecidos pela Fundação Getúlio Vargas, ou outra que vier a substituí-la, após decorrido 01 (um) ano da data-base do orçamento preestabelecido no Edital, nos termos do art. 3º, §1º, da Lei nº 10.192 de 2001, sendo o índice inicial referente ao mês do Orçamento Referencial.</w:t>
      </w:r>
    </w:p>
    <w:p w14:paraId="497EF467">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45A04B2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CC65C0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DÉCIMA PRIMEIRA – DA DOTAÇÃO ORÇAMENTÁRIA</w:t>
      </w:r>
    </w:p>
    <w:p w14:paraId="3FD14D4F">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59DE912C">
      <w:pPr>
        <w:pStyle w:val="143"/>
        <w:spacing w:line="276" w:lineRule="auto"/>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43B0892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11.1. As despesas decorrentes da execução do objeto do presente CONTRATO no exercício de 2026, no valor de R$ 15.114.756,84 (quinze milhões cento e quatorze reais e setecentos e cinquenta e seis reais e oitenta e quatro centavos), correrão à conta do orçamento da Contratante, consignados através dos seguintes elementos:</w:t>
      </w:r>
    </w:p>
    <w:p w14:paraId="45AA6DA1">
      <w:pPr>
        <w:pStyle w:val="143"/>
        <w:spacing w:line="276" w:lineRule="auto"/>
        <w:rPr>
          <w:rFonts w:ascii="Times New Roman" w:hAnsi="Times New Roman" w:cs="Times New Roman"/>
          <w:b w:val="0"/>
          <w:bCs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 </w:t>
      </w:r>
    </w:p>
    <w:tbl>
      <w:tblPr>
        <w:tblStyle w:val="3"/>
        <w:tblW w:w="8646" w:type="dxa"/>
        <w:tblInd w:w="142" w:type="dxa"/>
        <w:tblLayout w:type="fixed"/>
        <w:tblCellMar>
          <w:top w:w="0" w:type="dxa"/>
          <w:left w:w="108" w:type="dxa"/>
          <w:bottom w:w="0" w:type="dxa"/>
          <w:right w:w="108" w:type="dxa"/>
        </w:tblCellMar>
      </w:tblPr>
      <w:tblGrid>
        <w:gridCol w:w="3094"/>
        <w:gridCol w:w="5551"/>
      </w:tblGrid>
      <w:tr w14:paraId="716C693C">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B525E19">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ÓRGÃO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BAFC290">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02 – PREFEITURA MUNICIPAL DE RONDONÓPOLIS</w:t>
            </w:r>
          </w:p>
        </w:tc>
      </w:tr>
      <w:tr w14:paraId="0AD99F86">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08AC1519">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UNIDADE</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F02DBEA">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017 – SECRETARIA MUNICIPAL DE INFRAESTRUTURA</w:t>
            </w:r>
          </w:p>
        </w:tc>
      </w:tr>
      <w:tr w14:paraId="579744C6">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46D4B65">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FUNÇÃO PROGRAMÁTICA</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70F44CC">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15.451.2103.1941 – PAVIMENTAÇÃO E DRENAGEM DAS VIAS URBANAS</w:t>
            </w:r>
          </w:p>
        </w:tc>
      </w:tr>
      <w:tr w14:paraId="4149F2FE">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332495A1">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ELEMENTO DE DESPESA</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BE19C65">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4.4.90.51 – OBRAS E INSTALAÇÕES</w:t>
            </w:r>
          </w:p>
        </w:tc>
      </w:tr>
      <w:tr w14:paraId="51A79424">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3E433BF">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09C7210">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1.754.0000000</w:t>
            </w:r>
          </w:p>
        </w:tc>
      </w:tr>
      <w:tr w14:paraId="11DED5BD">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BBCC65B">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2026</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7DA237F9">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R$ 9.114.756,84</w:t>
            </w:r>
          </w:p>
        </w:tc>
      </w:tr>
      <w:tr w14:paraId="19576C82">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3ADDD23D">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REDUZIDO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D865F64">
            <w:pPr>
              <w:pStyle w:val="213"/>
              <w:spacing w:line="276" w:lineRule="auto"/>
              <w:jc w:val="both"/>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817</w:t>
            </w:r>
          </w:p>
        </w:tc>
      </w:tr>
      <w:tr w14:paraId="253C82A1">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575ECA0">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6C6A0327">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1.701.0000000</w:t>
            </w:r>
          </w:p>
        </w:tc>
      </w:tr>
      <w:tr w14:paraId="0D2EA6C4">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0F787541">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2026</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DD44B09">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R$ 6.000.000,00</w:t>
            </w:r>
          </w:p>
        </w:tc>
      </w:tr>
      <w:tr w14:paraId="3830BE73">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5BF6B3D5">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REDUZIDO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210FF214">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815</w:t>
            </w:r>
          </w:p>
        </w:tc>
      </w:tr>
      <w:tr w14:paraId="296DA501">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43F6EB08">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FONTE DO RECURSO</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1256E2FF">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1.701.0000000</w:t>
            </w:r>
          </w:p>
        </w:tc>
      </w:tr>
      <w:tr w14:paraId="267B102B">
        <w:tblPrEx>
          <w:tblCellMar>
            <w:top w:w="0" w:type="dxa"/>
            <w:left w:w="108" w:type="dxa"/>
            <w:bottom w:w="0" w:type="dxa"/>
            <w:right w:w="108" w:type="dxa"/>
          </w:tblCellMar>
        </w:tblPrEx>
        <w:trPr>
          <w:trHeight w:val="446" w:hRule="atLeast"/>
        </w:trPr>
        <w:tc>
          <w:tcPr>
            <w:tcW w:w="3094"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70AEADBD">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PREVISÃO DA DESPESA 2027</w:t>
            </w:r>
          </w:p>
        </w:tc>
        <w:tc>
          <w:tcPr>
            <w:tcW w:w="5551" w:type="dxa"/>
            <w:tcBorders>
              <w:top w:val="single" w:color="000000" w:sz="12" w:space="0"/>
              <w:left w:val="single" w:color="000000" w:sz="12" w:space="0"/>
              <w:bottom w:val="single" w:color="000000" w:sz="12" w:space="0"/>
              <w:right w:val="single" w:color="000000" w:sz="12" w:space="0"/>
            </w:tcBorders>
            <w:tcMar>
              <w:top w:w="0" w:type="dxa"/>
              <w:left w:w="108" w:type="dxa"/>
              <w:bottom w:w="0" w:type="dxa"/>
              <w:right w:w="108" w:type="dxa"/>
            </w:tcMar>
            <w:vAlign w:val="center"/>
          </w:tcPr>
          <w:p w14:paraId="3654453A">
            <w:pPr>
              <w:pStyle w:val="213"/>
              <w:spacing w:line="276" w:lineRule="auto"/>
              <w:rPr>
                <w:rFonts w:ascii="Liberation Serif" w:hAnsi="Liberation Serif" w:cs="Liberation Serif"/>
                <w:b w:val="0"/>
                <w:i w:val="0"/>
                <w:caps w:val="0"/>
                <w:smallCaps w:val="0"/>
                <w:strike w:val="0"/>
                <w:color w:val="000000"/>
                <w:spacing w:val="0"/>
                <w:sz w:val="24"/>
                <w:szCs w:val="24"/>
                <w:u w:val="none"/>
                <w:lang w:val="pt-PT" w:bidi="hi-IN"/>
              </w:rPr>
            </w:pPr>
            <w:r>
              <w:rPr>
                <w:rFonts w:ascii="Book Antiqua" w:hAnsi="Book Antiqua" w:cs="Book Antiqua"/>
                <w:b/>
                <w:i w:val="0"/>
                <w:caps w:val="0"/>
                <w:smallCaps w:val="0"/>
                <w:strike w:val="0"/>
                <w:color w:val="000000"/>
                <w:spacing w:val="0"/>
                <w:sz w:val="18"/>
                <w:szCs w:val="18"/>
                <w:u w:val="none"/>
                <w:lang w:val="pt-BR" w:bidi="ar-SA"/>
              </w:rPr>
              <w:t>R$ 3.114.756,84</w:t>
            </w:r>
          </w:p>
        </w:tc>
      </w:tr>
    </w:tbl>
    <w:p w14:paraId="553D463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315BF8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11.2. Para os exercícios subsequentes, as despesas correrão à conta dos orçamentos respectivos, em conformidade com o Plano Anual.</w:t>
      </w:r>
    </w:p>
    <w:p w14:paraId="7251F50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B8553C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CLÁUSULA DÉCIMA SEGUNDA – DA GARANTIA</w:t>
      </w:r>
    </w:p>
    <w:p w14:paraId="2B3E9401">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B5635B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12.1. Para garantir o fiel cumprimento de todas as obrigações contratuais, a CONTRATADA deverá apresentar, no prazo de contados da assinatura do contrato, comprovante de prestação de garantia no valor de 5% (cinco por cento) do valor total do contrato, em conformidade com o art. 96 dá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3DFA7A8C">
      <w:pPr>
        <w:pStyle w:val="155"/>
        <w:spacing w:line="276" w:lineRule="auto"/>
        <w:jc w:val="both"/>
        <w:rPr>
          <w:rFonts w:ascii="Liberation Serif" w:hAnsi="Liberation Serif" w:cs="Liberation Serif"/>
          <w:b w:val="0"/>
          <w:i w:val="0"/>
          <w:caps w:val="0"/>
          <w:smallCaps w:val="0"/>
          <w:strike w:val="0"/>
          <w:color w:val="000000"/>
          <w:spacing w:val="0"/>
          <w:sz w:val="24"/>
          <w:szCs w:val="24"/>
          <w:u w:val="none"/>
          <w:lang w:val="pt-BR" w:bidi="hi-IN"/>
        </w:rPr>
      </w:pPr>
    </w:p>
    <w:p w14:paraId="2646B504">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12.2. A garantia poderá ser prestada em uma das seguintes modalidades, à escolha da CONTRATADA: </w:t>
      </w:r>
    </w:p>
    <w:p w14:paraId="4942472A">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2FA56E22">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 seguro-garantia;</w:t>
      </w:r>
    </w:p>
    <w:p w14:paraId="2A103787">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 fiança bancária emitida por banco ou instituição financeira devidamente autorizada a operar no País pelo Banco Central do Brasil.</w:t>
      </w:r>
    </w:p>
    <w:p w14:paraId="1939A9D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IV - título de capitalização custeado por pagamento único, com resgate pelo valor total. </w:t>
      </w:r>
      <w:r>
        <w:fldChar w:fldCharType="begin"/>
      </w:r>
      <w:r>
        <w:instrText xml:space="preserve"> HYPERLINK "https://www.planalto.gov.br/ccivil_03/_Ato2023-2026/2023/Lei/L14770.htm#art1" \o "https://www.planalto.gov.br/ccivil_03/_Ato2023-2026/2023/Lei/L14770.htm#art1"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(Incluído pela Lei nº 14.770, de 2023)</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p>
    <w:p w14:paraId="109395A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40E0E24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12.3. A garantia, nas modalidades Caução e Fiança Bancária, deverá ser prestada em até 10 (dez) dias úteis após a assinatura do contrato.</w:t>
      </w:r>
    </w:p>
    <w:p w14:paraId="6921973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12.4. No caso de opção pela modalidade "I - Caução em dinheiro", o interessado deverá procurar a Administração Pública Municipal, em Rondonópolis/MT, para obter instruções de como efetuá-la.</w:t>
      </w:r>
    </w:p>
    <w:p w14:paraId="484CD015">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12.5. No caso de caução com "I - [...] Títulos da Dívida Pública", estes deverão estar acompanhados de laudo de avaliação da Secretaria do Tesouro Nacional, no qual informe sobre a exequibilidade, valor e prazo de resgate, taxa de atualização, e condições de resgate.</w:t>
      </w:r>
    </w:p>
    <w:p w14:paraId="7AC65605">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12.6. Para a prestação de garantia na modalidade "II - Seguro-Garantia", o prazo será de 1 (um) mês, contado da data de homologação da licitação e anterior à assinatura do contrato (art. 96, §3º da </w:t>
      </w:r>
    </w:p>
    <w:p w14:paraId="38C038C8">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e dar-se-á mediante entrega da competente apólice emitida por entidade em funcionamento no País, e em nome do Município de Rondonópolis, cobrindo o risco de quebra do contrato, pelo prazo da duração do contrato,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4AED9831">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12.7. Caso a garantia se dê por "III - Fiança Bancária",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292B730D">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12.8. Caso a garantia se dê por "IV – Título de Capitalização",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w:t>
      </w:r>
    </w:p>
    <w:p w14:paraId="2EF0A6A7">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12.9. A garantia prestada pela Contratada lhe será restituída ou liberada após o Recebimento Definitivo do(s) serviço(s) e, quando em dinheiro, com a devida atualização monetária.</w:t>
      </w:r>
    </w:p>
    <w:p w14:paraId="398D2205">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12.10. A contratada é responsável pelos danos causados diretamente à Administração ou a terceiros, na forma do art.120,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.O contratado é responsável pelos encargos trabalhistas, previdenciários, fiscais e comerciais de suas subcontratadas resultantes da execução do contrato, cabendo a ele a fiscalização do cumprimento de suas obrigações.</w:t>
      </w:r>
    </w:p>
    <w:p w14:paraId="70862C43">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12.11. Ocorrendo a rescisão com fundamento nos incisos I a IX do Art. 137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a Administração executará a garantia prestada pela Contratada.</w:t>
      </w:r>
    </w:p>
    <w:p w14:paraId="6531B715">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12.12. A garantia prestada visa garantir o pleno cumprimento, pela Contratada, das obrigações estipuladas neste Contrato: ressarcir a Contratante de quaisquer prejuízos decorrentes de sua rescisão unilateral e injustificada; cobrir multas que vierem a ser aplicadas em decorrência de rescisão contratual ou aplicadas por descumprimento de quaisquer outras obrigações contratuais ou, ainda, cobrir perdas e danos causados à Contratante.</w:t>
      </w:r>
    </w:p>
    <w:p w14:paraId="7787E58B">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12.13. Não será aceita a prestação de garantia que não cubra todos os riscos ou prejuízos eventualmente decorrentes da execução do contrato, tais como a responsabilidade por multas e obrigações trabalhistas, previdenciárias ou sociais.</w:t>
      </w:r>
    </w:p>
    <w:p w14:paraId="31361AC5">
      <w:pPr>
        <w:pStyle w:val="143"/>
        <w:spacing w:line="276" w:lineRule="auto"/>
        <w:jc w:val="both"/>
        <w:rPr>
          <w:rFonts w:ascii="Book Antiqua" w:hAnsi="Book Antiqua" w:cs="Book Antiqua"/>
          <w:b/>
          <w:bCs w:val="0"/>
          <w:i w:val="0"/>
          <w:caps w:val="0"/>
          <w:smallCaps w:val="0"/>
          <w:strike w:val="0"/>
          <w:color w:val="000000"/>
          <w:spacing w:val="0"/>
          <w:sz w:val="18"/>
          <w:szCs w:val="18"/>
          <w:u w:val="none"/>
          <w:lang w:val="pt-BR" w:bidi="ar-SA"/>
          <w14:ligatures w14:val="none"/>
        </w:rPr>
      </w:pPr>
      <w:r>
        <w:rPr>
          <w:rFonts w:ascii="Book Antiqua" w:hAnsi="Book Antiqua" w:cs="Book Antiqua"/>
          <w:b/>
          <w:bCs/>
          <w:i w:val="0"/>
          <w:iCs w:val="0"/>
          <w:caps w:val="0"/>
          <w:smallCaps w:val="0"/>
          <w:strike w:val="0"/>
          <w:color w:val="000000"/>
          <w:spacing w:val="0"/>
          <w:sz w:val="18"/>
          <w:szCs w:val="18"/>
          <w:u w:val="none"/>
          <w:lang w:val="pt-BR" w:bidi="hi-IN"/>
        </w:rPr>
        <w:t>12.14. Garantia Adicional</w:t>
      </w:r>
    </w:p>
    <w:p w14:paraId="06B973B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29C28E59">
      <w:pPr>
        <w:pStyle w:val="143"/>
        <w:spacing w:after="240" w:line="276" w:lineRule="auto"/>
        <w:jc w:val="both"/>
        <w:rPr>
          <w:rFonts w:ascii="Book Antiqua" w:hAnsi="Book Antiqua" w:cs="Book Antiqua"/>
          <w:b w:val="0"/>
          <w:bCs w:val="0"/>
          <w:i w:val="0"/>
          <w:caps w:val="0"/>
          <w:smallCaps w:val="0"/>
          <w:strike w:val="0"/>
          <w:color w:val="000000"/>
          <w:spacing w:val="0"/>
          <w:sz w:val="18"/>
          <w:szCs w:val="18"/>
          <w:u w:val="none"/>
          <w:lang w:val="pt-BR" w:bidi="ar-SA"/>
          <w14:ligatures w14:val="none"/>
        </w:rPr>
      </w:pPr>
      <w:r>
        <w:rPr>
          <w:rFonts w:ascii="Book Antiqua" w:hAnsi="Book Antiqua" w:cs="Book Antiqua"/>
          <w:b w:val="0"/>
          <w:bCs w:val="0"/>
          <w:i w:val="0"/>
          <w:iCs w:val="0"/>
          <w:caps w:val="0"/>
          <w:smallCaps w:val="0"/>
          <w:strike w:val="0"/>
          <w:color w:val="000000"/>
          <w:spacing w:val="0"/>
          <w:sz w:val="18"/>
          <w:szCs w:val="18"/>
          <w:u w:val="none"/>
          <w:lang w:val="pt-BR" w:bidi="pt-BR"/>
        </w:rPr>
        <w:t xml:space="preserve">12.14.1. </w:t>
      </w:r>
      <w:r>
        <w:rPr>
          <w:rFonts w:ascii="Book Antiqua" w:hAnsi="Book Antiqua" w:cs="Book Antiqua"/>
          <w:b w:val="0"/>
          <w:bCs w:val="0"/>
          <w:i w:val="0"/>
          <w:iCs w:val="0"/>
          <w:caps w:val="0"/>
          <w:smallCaps w:val="0"/>
          <w:strike w:val="0"/>
          <w:color w:val="000000"/>
          <w:spacing w:val="0"/>
          <w:sz w:val="18"/>
          <w:szCs w:val="18"/>
          <w:u w:val="none"/>
          <w:lang w:val="pt-BR" w:bidi="ar-SA"/>
        </w:rPr>
        <w:t>A Contratada deverá prestar garantia adicional nos termos do art. 59, § 5º, da Lei nº 14.133, de 2021, abaixo reproduzido:</w:t>
      </w:r>
    </w:p>
    <w:p w14:paraId="4B1735DD">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Lei Federal nº 14.133/2021; Lei de Licitações e Contratos Administrativos.</w:t>
      </w:r>
    </w:p>
    <w:p w14:paraId="4107F166">
      <w:pPr>
        <w:pStyle w:val="143"/>
        <w:spacing w:line="276" w:lineRule="auto"/>
        <w:ind w:left="709"/>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Art. 59º Para os fins desta Lei, consideram-se:</w:t>
      </w:r>
    </w:p>
    <w:p w14:paraId="248FF82B">
      <w:pPr>
        <w:pStyle w:val="143"/>
        <w:spacing w:line="276" w:lineRule="auto"/>
        <w:ind w:left="709"/>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caps w:val="0"/>
          <w:smallCaps w:val="0"/>
          <w:strike w:val="0"/>
          <w:color w:val="000000"/>
          <w:spacing w:val="0"/>
          <w:sz w:val="16"/>
          <w:szCs w:val="16"/>
          <w:u w:val="none"/>
          <w:lang w:val="pt-BR" w:bidi="ar-SA"/>
        </w:rPr>
        <w:t>[…]</w:t>
      </w:r>
    </w:p>
    <w:p w14:paraId="6ECD51A2">
      <w:pPr>
        <w:pStyle w:val="143"/>
        <w:spacing w:line="276" w:lineRule="auto"/>
        <w:ind w:left="709"/>
        <w:jc w:val="both"/>
        <w:rPr>
          <w:rFonts w:ascii="Times New Roman" w:hAnsi="Times New Roman" w:cs="Times New Roman"/>
          <w:b w:val="0"/>
          <w:bCs w:val="0"/>
          <w:i w:val="0"/>
          <w:caps w:val="0"/>
          <w:smallCaps w:val="0"/>
          <w:strike w:val="0"/>
          <w:color w:val="000000"/>
          <w:spacing w:val="0"/>
          <w:sz w:val="20"/>
          <w:szCs w:val="20"/>
          <w:highlight w:val="none"/>
          <w:u w:val="none"/>
          <w:lang w:val="pt-BR" w:bidi="ar-SA"/>
        </w:rPr>
      </w:pPr>
      <w:r>
        <w:rPr>
          <w:rFonts w:ascii="Book Antiqua" w:hAnsi="Book Antiqua" w:cs="Book Antiqua"/>
          <w:b w:val="0"/>
          <w:i/>
          <w:caps w:val="0"/>
          <w:smallCaps w:val="0"/>
          <w:strike w:val="0"/>
          <w:color w:val="000000"/>
          <w:spacing w:val="0"/>
          <w:sz w:val="16"/>
          <w:szCs w:val="16"/>
          <w:u w:val="none"/>
          <w:lang w:val="pt-BR" w:bidi="ar-SA"/>
        </w:rPr>
        <w:t>§ 5º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14:paraId="7E9F3323">
      <w:pPr>
        <w:pStyle w:val="143"/>
        <w:spacing w:line="276" w:lineRule="auto"/>
        <w:ind w:left="709"/>
        <w:jc w:val="both"/>
        <w:rPr>
          <w:rFonts w:ascii="Times New Roman" w:hAnsi="Times New Roman" w:cs="Times New Roman"/>
          <w:b w:val="0"/>
          <w:bCs w:val="0"/>
          <w:i w:val="0"/>
          <w:caps w:val="0"/>
          <w:smallCaps w:val="0"/>
          <w:strike w:val="0"/>
          <w:color w:val="000000"/>
          <w:spacing w:val="0"/>
          <w:sz w:val="20"/>
          <w:szCs w:val="20"/>
          <w:u w:val="none"/>
          <w:lang w:val="pt-BR" w:bidi="ar-SA"/>
        </w:rPr>
      </w:pPr>
    </w:p>
    <w:p w14:paraId="10029CD7">
      <w:pPr>
        <w:pStyle w:val="143"/>
        <w:spacing w:after="240" w:line="276"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pt-BR"/>
        </w:rPr>
        <w:t>12.14.</w:t>
      </w:r>
      <w:r>
        <w:rPr>
          <w:rFonts w:ascii="Book Antiqua" w:hAnsi="Book Antiqua" w:cs="Book Antiqua"/>
          <w:b w:val="0"/>
          <w:bCs w:val="0"/>
          <w:i w:val="0"/>
          <w:iCs w:val="0"/>
          <w:caps w:val="0"/>
          <w:smallCaps w:val="0"/>
          <w:strike w:val="0"/>
          <w:color w:val="000000"/>
          <w:spacing w:val="0"/>
          <w:sz w:val="18"/>
          <w:szCs w:val="18"/>
          <w:u w:val="none"/>
          <w:lang w:val="pt-BR" w:bidi="ar-SA"/>
        </w:rPr>
        <w:t>2. O valor da garantia adicional corresponderá à diferença entre o valor orçado pela Administração e o valor da proposta vencedora, calculado conforme a seguinte fórmula:</w:t>
      </w:r>
    </w:p>
    <w:p w14:paraId="73413343">
      <w:pPr>
        <w:pStyle w:val="143"/>
        <w:spacing w:after="240" w:line="276"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ar-SA"/>
        </w:rPr>
        <w:t xml:space="preserve">Garantia Adicional = </w:t>
      </w:r>
      <w:r>
        <w:rPr>
          <w:rFonts w:hint="default" w:ascii="Book Antiqua" w:hAnsi="Book Antiqua" w:cs="Book Antiqua"/>
          <w:b w:val="0"/>
          <w:bCs w:val="0"/>
          <w:i w:val="0"/>
          <w:iCs w:val="0"/>
          <w:caps w:val="0"/>
          <w:smallCaps w:val="0"/>
          <w:strike w:val="0"/>
          <w:color w:val="000000"/>
          <w:spacing w:val="0"/>
          <w:sz w:val="18"/>
          <w:szCs w:val="18"/>
          <w:u w:val="none"/>
          <w:lang w:val="pt-BR" w:bidi="ar-SA"/>
        </w:rPr>
        <w:t xml:space="preserve"> 85% </w:t>
      </w:r>
      <w:r>
        <w:rPr>
          <w:rFonts w:ascii="Book Antiqua" w:hAnsi="Book Antiqua" w:cs="Book Antiqua"/>
          <w:b w:val="0"/>
          <w:bCs w:val="0"/>
          <w:i w:val="0"/>
          <w:iCs w:val="0"/>
          <w:caps w:val="0"/>
          <w:smallCaps w:val="0"/>
          <w:strike w:val="0"/>
          <w:color w:val="000000"/>
          <w:spacing w:val="0"/>
          <w:sz w:val="18"/>
          <w:szCs w:val="18"/>
          <w:u w:val="none"/>
          <w:lang w:val="pt-BR" w:bidi="ar-SA"/>
        </w:rPr>
        <w:t>Valor Orçado pela Administração - Valor da Proposta Vencedora</w:t>
      </w:r>
    </w:p>
    <w:p w14:paraId="72DD7A46">
      <w:pPr>
        <w:pStyle w:val="143"/>
        <w:spacing w:after="240" w:line="276"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pt-BR"/>
        </w:rPr>
        <w:t>12.14.</w:t>
      </w:r>
      <w:r>
        <w:rPr>
          <w:rFonts w:ascii="Book Antiqua" w:hAnsi="Book Antiqua" w:cs="Book Antiqua"/>
          <w:b w:val="0"/>
          <w:bCs w:val="0"/>
          <w:i w:val="0"/>
          <w:iCs w:val="0"/>
          <w:caps w:val="0"/>
          <w:smallCaps w:val="0"/>
          <w:strike w:val="0"/>
          <w:color w:val="000000"/>
          <w:spacing w:val="0"/>
          <w:sz w:val="18"/>
          <w:szCs w:val="18"/>
          <w:u w:val="none"/>
          <w:lang w:val="pt-BR" w:bidi="ar-SA"/>
        </w:rPr>
        <w:t xml:space="preserve">3. Exemplo de cálculo: </w:t>
      </w:r>
    </w:p>
    <w:p w14:paraId="24CE228F">
      <w:pPr>
        <w:pStyle w:val="143"/>
        <w:spacing w:line="240"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ar-SA"/>
        </w:rPr>
        <w:t xml:space="preserve">- Valor orçado pela Administração: R$ 1.000.000,00 </w:t>
      </w:r>
    </w:p>
    <w:p w14:paraId="11552A71">
      <w:pPr>
        <w:pStyle w:val="143"/>
        <w:spacing w:line="240"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ar-SA"/>
        </w:rPr>
        <w:t xml:space="preserve">- 85% do valor orçado: R$ 850.000,00 </w:t>
      </w:r>
    </w:p>
    <w:p w14:paraId="267762D0">
      <w:pPr>
        <w:pStyle w:val="143"/>
        <w:spacing w:line="240" w:lineRule="auto"/>
        <w:jc w:val="both"/>
        <w:rPr>
          <w:rFonts w:ascii="Book Antiqua" w:hAnsi="Book Antiqua" w:cs="Book Antiqua"/>
          <w:b w:val="0"/>
          <w:bCs w:val="0"/>
          <w:i w:val="0"/>
          <w:caps w:val="0"/>
          <w:smallCaps w:val="0"/>
          <w:strike w:val="0"/>
          <w:color w:val="000000"/>
          <w:spacing w:val="0"/>
          <w:sz w:val="18"/>
          <w:szCs w:val="18"/>
          <w:u w:val="none"/>
          <w:lang w:val="pt-BR" w:bidi="pt-BR"/>
          <w14:ligatures w14:val="none"/>
        </w:rPr>
      </w:pPr>
      <w:r>
        <w:rPr>
          <w:rFonts w:ascii="Book Antiqua" w:hAnsi="Book Antiqua" w:cs="Book Antiqua"/>
          <w:b w:val="0"/>
          <w:bCs w:val="0"/>
          <w:i w:val="0"/>
          <w:iCs w:val="0"/>
          <w:caps w:val="0"/>
          <w:smallCaps w:val="0"/>
          <w:strike w:val="0"/>
          <w:color w:val="000000"/>
          <w:spacing w:val="0"/>
          <w:sz w:val="18"/>
          <w:szCs w:val="18"/>
          <w:u w:val="none"/>
          <w:lang w:val="pt-BR" w:bidi="ar-SA"/>
        </w:rPr>
        <w:t xml:space="preserve">- Proposta vencedora: R$ 800.000,00 </w:t>
      </w:r>
    </w:p>
    <w:p w14:paraId="1A858417">
      <w:pPr>
        <w:pStyle w:val="143"/>
        <w:spacing w:line="240"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i w:val="0"/>
          <w:caps w:val="0"/>
          <w:smallCaps w:val="0"/>
          <w:strike w:val="0"/>
          <w:color w:val="000000"/>
          <w:spacing w:val="0"/>
          <w:sz w:val="18"/>
          <w:szCs w:val="18"/>
          <w:u w:val="none"/>
          <w:lang w:val="pt-BR" w:bidi="ar-SA"/>
        </w:rPr>
        <w:t>- Garantia adicional devida: R$ 50.000,00</w:t>
      </w:r>
    </w:p>
    <w:p w14:paraId="07E5F10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40282BE">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pt-BR"/>
        </w:rPr>
        <w:t>12</w:t>
      </w:r>
      <w:r>
        <w:rPr>
          <w:rFonts w:ascii="Book Antiqua" w:hAnsi="Book Antiqua" w:cs="Book Antiqua"/>
          <w:b w:val="0"/>
          <w:bCs w:val="0"/>
          <w:i w:val="0"/>
          <w:iCs w:val="0"/>
          <w:caps w:val="0"/>
          <w:smallCaps w:val="0"/>
          <w:strike w:val="0"/>
          <w:color w:val="000000"/>
          <w:spacing w:val="0"/>
          <w:sz w:val="18"/>
          <w:szCs w:val="18"/>
          <w:u w:val="none"/>
          <w:lang w:val="pt-BR" w:bidi="pt-BR"/>
        </w:rPr>
        <w:t>.14.</w:t>
      </w:r>
      <w:r>
        <w:rPr>
          <w:rFonts w:ascii="Book Antiqua" w:hAnsi="Book Antiqua" w:cs="Book Antiqua"/>
          <w:b w:val="0"/>
          <w:i w:val="0"/>
          <w:caps w:val="0"/>
          <w:smallCaps w:val="0"/>
          <w:strike w:val="0"/>
          <w:color w:val="000000"/>
          <w:spacing w:val="0"/>
          <w:sz w:val="18"/>
          <w:szCs w:val="18"/>
          <w:u w:val="none"/>
          <w:lang w:val="pt-BR" w:bidi="ar-SA"/>
        </w:rPr>
        <w:t xml:space="preserve">4. A garantia adicional deverá ser apresentada no prazo de, 10 (dez) dias úteis contados da convocação para assinatura do contrato, podendo ser prestada em uma das modalidades previstas no art. 96 da </w:t>
      </w:r>
    </w:p>
    <w:p w14:paraId="623E10CF">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 xml:space="preserve">: </w:t>
      </w:r>
    </w:p>
    <w:p w14:paraId="29C74D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29AA5E5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 - seguro-garantia;</w:t>
      </w:r>
    </w:p>
    <w:p w14:paraId="573E985C">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III - fiança bancária emitida por banco ou instituição financeira devidamente autorizada a operar no País pelo Banco Central do Brasil.</w:t>
      </w:r>
    </w:p>
    <w:p w14:paraId="3FA6BC6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ar-SA"/>
        </w:rPr>
        <w:t xml:space="preserve">IV - título de capitalização custeado por pagamento único, com resgate pelo valor total. </w:t>
      </w:r>
      <w:r>
        <w:fldChar w:fldCharType="begin"/>
      </w:r>
      <w:r>
        <w:instrText xml:space="preserve"> HYPERLINK "https://www.planalto.gov.br/ccivil_03/_Ato2023-2026/2023/Lei/L14770.htm#art1" \o "https://www.planalto.gov.br/ccivil_03/_Ato2023-2026/2023/Lei/L14770.htm#art1"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(Incluído pela Lei nº 14.770, de 2023)</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p>
    <w:p w14:paraId="779022F3">
      <w:pPr>
        <w:pStyle w:val="143"/>
        <w:spacing w:before="240"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pt-BR"/>
        </w:rPr>
        <w:t>12</w:t>
      </w:r>
      <w:r>
        <w:rPr>
          <w:rFonts w:ascii="Book Antiqua" w:hAnsi="Book Antiqua" w:cs="Book Antiqua"/>
          <w:b w:val="0"/>
          <w:bCs w:val="0"/>
          <w:i w:val="0"/>
          <w:iCs w:val="0"/>
          <w:caps w:val="0"/>
          <w:smallCaps w:val="0"/>
          <w:strike w:val="0"/>
          <w:color w:val="000000"/>
          <w:spacing w:val="0"/>
          <w:sz w:val="18"/>
          <w:szCs w:val="18"/>
          <w:u w:val="none"/>
          <w:lang w:val="pt-BR" w:bidi="pt-BR"/>
        </w:rPr>
        <w:t>.14.</w:t>
      </w:r>
      <w:r>
        <w:rPr>
          <w:rFonts w:ascii="Book Antiqua" w:hAnsi="Book Antiqua" w:cs="Book Antiqua"/>
          <w:b w:val="0"/>
          <w:i w:val="0"/>
          <w:caps w:val="0"/>
          <w:smallCaps w:val="0"/>
          <w:strike w:val="0"/>
          <w:color w:val="000000"/>
          <w:spacing w:val="0"/>
          <w:sz w:val="18"/>
          <w:szCs w:val="18"/>
          <w:u w:val="none"/>
          <w:lang w:val="pt-BR" w:bidi="ar-SA"/>
        </w:rPr>
        <w:t>5. A garantia adicional soma-se às demais garantias contratuais exigidas, não as substituindo, e terá as mesmas condições e prazo de vigência das demais garantias prestadas.</w:t>
      </w:r>
    </w:p>
    <w:p w14:paraId="05339B97">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pt-BR"/>
        </w:rPr>
        <w:t>12</w:t>
      </w:r>
      <w:r>
        <w:rPr>
          <w:rFonts w:ascii="Book Antiqua" w:hAnsi="Book Antiqua" w:cs="Book Antiqua"/>
          <w:b w:val="0"/>
          <w:bCs w:val="0"/>
          <w:i w:val="0"/>
          <w:iCs w:val="0"/>
          <w:caps w:val="0"/>
          <w:smallCaps w:val="0"/>
          <w:strike w:val="0"/>
          <w:color w:val="000000"/>
          <w:spacing w:val="0"/>
          <w:sz w:val="18"/>
          <w:szCs w:val="18"/>
          <w:u w:val="none"/>
          <w:lang w:val="pt-BR" w:bidi="pt-BR"/>
        </w:rPr>
        <w:t>.14.</w:t>
      </w:r>
      <w:r>
        <w:rPr>
          <w:rFonts w:ascii="Book Antiqua" w:hAnsi="Book Antiqua" w:cs="Book Antiqua"/>
          <w:b w:val="0"/>
          <w:i w:val="0"/>
          <w:caps w:val="0"/>
          <w:smallCaps w:val="0"/>
          <w:strike w:val="0"/>
          <w:color w:val="000000"/>
          <w:spacing w:val="0"/>
          <w:sz w:val="18"/>
          <w:szCs w:val="18"/>
          <w:u w:val="none"/>
          <w:lang w:val="pt-BR" w:bidi="ar-SA"/>
        </w:rPr>
        <w:t>6. A garantia adicional será liberada ou restituída nas mesmas condições estabelecidas para a garantia de execução contratual, após o cumprimento integral de todas as obrigações contratuais.</w:t>
      </w:r>
    </w:p>
    <w:p w14:paraId="4F600040">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pt-BR"/>
        </w:rPr>
        <w:t>12</w:t>
      </w:r>
      <w:r>
        <w:rPr>
          <w:rFonts w:ascii="Book Antiqua" w:hAnsi="Book Antiqua" w:cs="Book Antiqua"/>
          <w:b w:val="0"/>
          <w:bCs w:val="0"/>
          <w:i w:val="0"/>
          <w:iCs w:val="0"/>
          <w:caps w:val="0"/>
          <w:smallCaps w:val="0"/>
          <w:strike w:val="0"/>
          <w:color w:val="000000"/>
          <w:spacing w:val="0"/>
          <w:sz w:val="18"/>
          <w:szCs w:val="18"/>
          <w:u w:val="none"/>
          <w:lang w:val="pt-BR" w:bidi="pt-BR"/>
        </w:rPr>
        <w:t>.14.</w:t>
      </w:r>
      <w:r>
        <w:rPr>
          <w:rFonts w:ascii="Book Antiqua" w:hAnsi="Book Antiqua" w:cs="Book Antiqua"/>
          <w:b w:val="0"/>
          <w:i w:val="0"/>
          <w:caps w:val="0"/>
          <w:smallCaps w:val="0"/>
          <w:strike w:val="0"/>
          <w:color w:val="000000"/>
          <w:spacing w:val="0"/>
          <w:sz w:val="18"/>
          <w:szCs w:val="18"/>
          <w:u w:val="none"/>
          <w:lang w:val="pt-BR" w:bidi="ar-SA"/>
        </w:rPr>
        <w:t xml:space="preserve">7. A exigência da garantia adicional independe de previsão específica no edital, constituindo obrigação legal automática sempre que verificada a condição prevista no art. 59, §5º da </w:t>
      </w:r>
      <w:r>
        <w:fldChar w:fldCharType="begin"/>
      </w:r>
      <w:r>
        <w:instrText xml:space="preserve"> HYPERLINK "https://www.planalto.gov.br/ccivil_03/_ato2019-2022/2021/lei/l14133.htm" \o "https://www.planalto.gov.br/ccivil_03/_ato2019-2022/2021/lei/l14133.htm" </w:instrText>
      </w:r>
      <w:r>
        <w:fldChar w:fldCharType="separate"/>
      </w:r>
      <w:r>
        <w:rPr>
          <w:rStyle w:val="245"/>
          <w:rFonts w:ascii="Book Antiqua" w:hAnsi="Book Antiqua" w:cs="Book Antiqua"/>
          <w:b w:val="0"/>
          <w:i w:val="0"/>
          <w:caps w:val="0"/>
          <w:smallCaps w:val="0"/>
          <w:strike w:val="0"/>
          <w:color w:val="000000"/>
          <w:spacing w:val="0"/>
          <w:sz w:val="18"/>
          <w:szCs w:val="18"/>
          <w:u w:val="none"/>
          <w:lang w:val="pt-BR" w:bidi="ar-SA"/>
        </w:rPr>
        <w:t>Lei nº 14.133, de 1º de abril de 2021</w:t>
      </w:r>
      <w:r>
        <w:rPr>
          <w:rStyle w:val="245"/>
          <w:rFonts w:ascii="Book Antiqua" w:hAnsi="Book Antiqua" w:cs="Book Antiqua"/>
          <w:b w:val="0"/>
          <w:i w:val="0"/>
          <w:caps w:val="0"/>
          <w:smallCaps w:val="0"/>
          <w:strike w:val="0"/>
          <w:color w:val="000000"/>
          <w:spacing w:val="0"/>
          <w:sz w:val="18"/>
          <w:szCs w:val="18"/>
          <w:u w:val="none"/>
          <w:lang w:val="pt-BR" w:bidi="ar-SA"/>
        </w:rPr>
        <w:fldChar w:fldCharType="end"/>
      </w:r>
      <w:r>
        <w:rPr>
          <w:rFonts w:ascii="Book Antiqua" w:hAnsi="Book Antiqua" w:cs="Book Antiqua"/>
          <w:b w:val="0"/>
          <w:i w:val="0"/>
          <w:caps w:val="0"/>
          <w:smallCaps w:val="0"/>
          <w:strike w:val="0"/>
          <w:color w:val="000000"/>
          <w:spacing w:val="0"/>
          <w:sz w:val="18"/>
          <w:szCs w:val="18"/>
          <w:u w:val="none"/>
          <w:lang w:val="pt-BR" w:bidi="ar-SA"/>
        </w:rPr>
        <w:t>.</w:t>
      </w:r>
    </w:p>
    <w:p w14:paraId="0EFAE73F">
      <w:pPr>
        <w:pStyle w:val="143"/>
        <w:spacing w:after="240"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lang w:val="pt-BR" w:bidi="pt-BR"/>
        </w:rPr>
        <w:t>12</w:t>
      </w:r>
      <w:r>
        <w:rPr>
          <w:rFonts w:ascii="Book Antiqua" w:hAnsi="Book Antiqua" w:cs="Book Antiqua"/>
          <w:b w:val="0"/>
          <w:bCs w:val="0"/>
          <w:i w:val="0"/>
          <w:iCs w:val="0"/>
          <w:caps w:val="0"/>
          <w:smallCaps w:val="0"/>
          <w:strike w:val="0"/>
          <w:color w:val="000000"/>
          <w:spacing w:val="0"/>
          <w:sz w:val="18"/>
          <w:szCs w:val="18"/>
          <w:u w:val="none"/>
          <w:lang w:val="pt-BR" w:bidi="pt-BR"/>
        </w:rPr>
        <w:t>.14.</w:t>
      </w:r>
      <w:r>
        <w:rPr>
          <w:rFonts w:ascii="Book Antiqua" w:hAnsi="Book Antiqua" w:cs="Book Antiqua"/>
          <w:b w:val="0"/>
          <w:i w:val="0"/>
          <w:caps w:val="0"/>
          <w:smallCaps w:val="0"/>
          <w:strike w:val="0"/>
          <w:color w:val="000000"/>
          <w:spacing w:val="0"/>
          <w:sz w:val="18"/>
          <w:szCs w:val="18"/>
          <w:u w:val="none"/>
          <w:lang w:val="pt-BR" w:bidi="ar-SA"/>
        </w:rPr>
        <w:t>8. O não cumprimento da obrigação de apresentar a garantia adicional no prazo estabelecido implicará na aplicação das sanções previstas em lei e poderá ensejar a rescisão do contrato por descumprimento de obrigação contratual.</w:t>
      </w:r>
    </w:p>
    <w:p w14:paraId="4BF78911">
      <w:pPr>
        <w:pStyle w:val="143"/>
        <w:spacing w:line="276" w:lineRule="auto"/>
        <w:jc w:val="both"/>
        <w:rPr>
          <w:rFonts w:ascii="Times New Roman" w:hAnsi="Times New Roman" w:cs="Times New Roman"/>
          <w:b/>
          <w:bCs/>
          <w:i w:val="0"/>
          <w:caps w:val="0"/>
          <w:smallCaps w:val="0"/>
          <w:strike w:val="0"/>
          <w:color w:val="000000"/>
          <w:spacing w:val="0"/>
          <w:sz w:val="20"/>
          <w:szCs w:val="20"/>
          <w:u w:val="none"/>
        </w:rPr>
      </w:pPr>
      <w:r>
        <w:rPr>
          <w:rFonts w:ascii="Book Antiqua" w:hAnsi="Book Antiqua" w:cs="Book Antiqua"/>
          <w:b/>
          <w:bCs/>
          <w:i w:val="0"/>
          <w:caps w:val="0"/>
          <w:smallCaps w:val="0"/>
          <w:strike w:val="0"/>
          <w:color w:val="000000"/>
          <w:spacing w:val="0"/>
          <w:sz w:val="18"/>
          <w:szCs w:val="18"/>
          <w:u w:val="none"/>
          <w:lang w:val="pt-BR" w:bidi="ar-SA"/>
        </w:rPr>
        <w:t>12.15.1 – DA GARANTIA MÍNIMA DO OBJETO</w:t>
      </w:r>
    </w:p>
    <w:p w14:paraId="40FA2F83">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343BE7FD">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Times New Roman" w:hAnsi="Times New Roman" w:cs="Times New Roman"/>
          <w:b w:val="0"/>
          <w:i w:val="0"/>
          <w:caps w:val="0"/>
          <w:smallCaps w:val="0"/>
          <w:strike w:val="0"/>
          <w:color w:val="000000"/>
          <w:spacing w:val="0"/>
          <w:sz w:val="20"/>
          <w:szCs w:val="20"/>
          <w:u w:val="none"/>
          <w:lang w:val="pt-BR" w:bidi="ar-SA"/>
        </w:rPr>
        <w:t>12.15.2. Para a presente contratação, não será exigida garantia comercial mínima específica do objeto além das garantias legais aplicáveis, sem prejuízo da garantia de execução contratual e da garantia adicional, quando cabíveis, nos termos deste Edital e de seus anexos. A Contratada responderá pela solidez e segurança da obra e dos serviços de engenharia, na forma do art. 618 do Código Civil, pelo prazo mínimo de 05 (cinco) anos, bem como pelos vícios, defeitos ou incorreções resultantes da execução ou dos materiais empregados, obrigando-se a reparar, corrigir, remover, reconstruir ou substituir, às suas expensas, no todo ou em parte, os serviços e materiais em que se verificarem falhas, em conformidade com o Projeto Básico, o Contrato e a legislação aplicável.</w:t>
      </w:r>
    </w:p>
    <w:p w14:paraId="2CA88C34">
      <w:pPr>
        <w:pStyle w:val="213"/>
        <w:spacing w:line="276" w:lineRule="auto"/>
        <w:jc w:val="both"/>
        <w:rPr>
          <w:rFonts w:ascii="Liberation Serif" w:hAnsi="Liberation Serif" w:cs="Liberation Serif"/>
          <w:b w:val="0"/>
          <w:i w:val="0"/>
          <w:caps w:val="0"/>
          <w:smallCaps w:val="0"/>
          <w:strike w:val="0"/>
          <w:color w:val="000000"/>
          <w:spacing w:val="0"/>
          <w:sz w:val="24"/>
          <w:szCs w:val="24"/>
          <w:u w:val="none"/>
          <w:shd w:val="clear" w:color="auto" w:fill="FFFFFF"/>
          <w:lang w:val="pt-PT" w:bidi="hi-IN"/>
        </w:rPr>
      </w:pPr>
    </w:p>
    <w:p w14:paraId="4DD1CDB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TERCEIRA – DAS PENALIDADES</w:t>
      </w:r>
    </w:p>
    <w:p w14:paraId="4CA74B7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35212A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w:t>
      </w:r>
      <w:r>
        <w:rPr>
          <w:rFonts w:ascii="Book Antiqua" w:hAnsi="Book Antiqua" w:cs="Book Antiqua"/>
          <w:b w:val="0"/>
          <w:i w:val="0"/>
          <w:caps w:val="0"/>
          <w:smallCaps w:val="0"/>
          <w:strike w:val="0"/>
          <w:color w:val="000000"/>
          <w:spacing w:val="0"/>
          <w:sz w:val="18"/>
          <w:szCs w:val="18"/>
          <w:u w:val="none"/>
          <w:lang w:val="pt-BR" w:bidi="ar-SA"/>
        </w:rPr>
        <w:t>3.1. Pela inexecução total ou parcial das obrigações decorrentes da execução do objeto a ser contratado, a Contratada, garantida a prévia e ampla defesa, poderá sofrer a aplicação das seguintes sanções, segundo a extensão da falta cometida, observado o disposto nos incisos I a IV do artigo 156 da Lei de Licitações e Contratos Administrativos nº 14.133/2021.</w:t>
      </w:r>
    </w:p>
    <w:p w14:paraId="2DB0F32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15184D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 – Advertência;</w:t>
      </w:r>
    </w:p>
    <w:p w14:paraId="33C072C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F2B49B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 No caso de 2ª advertência, por razão de medição, mediante prévia e ampla defesa, aplicar-se-á, multa no importe de 5% (cinco por cento) da respectiva medição.</w:t>
      </w:r>
    </w:p>
    <w:p w14:paraId="2A6C1BD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3274AF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b) Em caso de reincidência da advertência, com aplicação da multa do inciso anterior, poderá ser aplicado a penalidade nos termos do artigo 156, da Lei n.º 14.133 de 2021.</w:t>
      </w:r>
    </w:p>
    <w:p w14:paraId="56CD38A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1FBEC0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II – Multa;</w:t>
      </w:r>
    </w:p>
    <w:p w14:paraId="3FF4280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304FE83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a) No caso de desistência da proposta, após a fase de habilitação, sem motivo justo aceito pelo Agente de Contratação ou do gestor do contrato, aplicar-se-á multa no valor de 5% (cinco por cento) do valor global do contrato.</w:t>
      </w:r>
    </w:p>
    <w:p w14:paraId="792579D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E72CF4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III – Impedimento de Licitar e Contratar</w:t>
      </w:r>
    </w:p>
    <w:p w14:paraId="5F673EC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c) Suspensão temporária do direito de participar de licitações e impedirá o responsável de licitar ou contratar no âmbito da Administração Pública direta e indireta do ente federativo que tiver aplicado a sanção, pelo prazo máximo de 3 (três) anos.</w:t>
      </w:r>
    </w:p>
    <w:p w14:paraId="6206904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8E18DD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IV – Declaração de inidoneidade para licitar ou contratar.</w:t>
      </w:r>
    </w:p>
    <w:p w14:paraId="28EF46B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BAD37B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13.1.1. Será aplicada multa de 0,5% (cinco décimos por cento) por dia de atraso na execução dos serviços, incidente sobre o valor do serviço a que se referir a infração, aplicada em dobro a partir do décimo dia de atraso até o trigésimo dia, quando a CONTRATANTE poderá decidir pela continuidade da multa ou pela rescisão contratual, aplicando-se, na hipótese de rescisão, a multa pecuniária prevista no subitem 13.1.2 infra, sem prejuízo da aplicação das penas previstas nos incisos III e IV da presente cláusula.</w:t>
      </w:r>
    </w:p>
    <w:p w14:paraId="4961696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30C9F1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13.1.2.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trinta dias, estabelecido no subitem 13.1.1 supra.</w:t>
      </w:r>
    </w:p>
    <w:p w14:paraId="5A7D2FC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23DBFD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13.2. O valor correspondente a qualquer multa aplicada à CONTRATADA, respeitado o princípio do contraditório e da ampla defesa, deverá ser depositado no prazo máximo de 10 (dez) dias, após o recebimento da notificação, na forma definida pela legislação, em favor da CONTRATANTE, ficando a empresa obrigada a comprovar o pagamento, mediante a apresentação da cópia do recibo do depósito efetuado.</w:t>
      </w:r>
    </w:p>
    <w:p w14:paraId="29807DD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266C3C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13.2.1.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14:paraId="1571850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C23807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13.3. No caso de a CONTRATADA ser credora de valor suficiente ao abatimento da dívida, a CONTRATANTE poderá proceder ao desconto da multa devida na proporção do crédito.</w:t>
      </w:r>
    </w:p>
    <w:p w14:paraId="1EDDD13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531DBB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13.4. Se a multa aplicada for superior ao total dos pagamentos eventualmente devidos, a CONTRATADA responderá pela sua diferença, podendo esta ser cobrada judicialmente.</w:t>
      </w:r>
    </w:p>
    <w:p w14:paraId="1695ED4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E2CA0F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13.5. As multas não têm caráter indenizatório, e seu pagamento não eximirá a CONTRATADA de ser acionada judicialmente pela responsabilidade civil derivada de perdas e danos junto à CONTRATANTE, decorrentes das infrações cometidas.</w:t>
      </w:r>
    </w:p>
    <w:p w14:paraId="62CF7E0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823F585">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QUARTA – GESTÃO DE CONTRATO</w:t>
      </w:r>
    </w:p>
    <w:p w14:paraId="63EA05E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D3DF71C">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14.1. O regime de execução contratual será o de </w:t>
      </w:r>
      <w:r>
        <w:rPr>
          <w:rFonts w:ascii="Book Antiqua" w:hAnsi="Book Antiqua" w:cs="Book Antiqua"/>
          <w:b/>
          <w:i w:val="0"/>
          <w:caps w:val="0"/>
          <w:smallCaps w:val="0"/>
          <w:strike w:val="0"/>
          <w:color w:val="000000"/>
          <w:spacing w:val="0"/>
          <w:sz w:val="18"/>
          <w:szCs w:val="18"/>
          <w:u w:val="none"/>
          <w:shd w:val="clear" w:color="auto" w:fill="FFFFFF"/>
          <w:lang w:val="pt-BR" w:bidi="ar-SA"/>
        </w:rPr>
        <w:t>EMPREITADA POR PREÇO UNITÁRIO</w:t>
      </w:r>
      <w:r>
        <w:rPr>
          <w:rFonts w:ascii="Book Antiqua" w:hAnsi="Book Antiqua" w:cs="Book Antiqua"/>
          <w:b w:val="0"/>
          <w:i w:val="0"/>
          <w:caps w:val="0"/>
          <w:smallCaps w:val="0"/>
          <w:strike w:val="0"/>
          <w:color w:val="000000"/>
          <w:spacing w:val="0"/>
          <w:sz w:val="18"/>
          <w:szCs w:val="18"/>
          <w:u w:val="none"/>
          <w:shd w:val="clear" w:color="auto" w:fill="FFFFFF"/>
          <w:lang w:val="pt-BR" w:bidi="ar-SA"/>
        </w:rPr>
        <w:t>, conforme definido no Edital e no Projeto Básico, devendo observar os prazos, condições de conclusão e entrega do objeto indicados no item 6 do Projeto Básico.</w:t>
      </w:r>
    </w:p>
    <w:p w14:paraId="59C42E61">
      <w:pPr>
        <w:pStyle w:val="146"/>
        <w:spacing w:line="276" w:lineRule="auto"/>
        <w:rPr>
          <w:rFonts w:ascii="Arial" w:hAnsi="Arial" w:cs="Arial"/>
          <w:b/>
          <w:i w:val="0"/>
          <w:caps w:val="0"/>
          <w:smallCaps w:val="0"/>
          <w:strike w:val="0"/>
          <w:color w:val="000000"/>
          <w:spacing w:val="0"/>
          <w:sz w:val="24"/>
          <w:szCs w:val="20"/>
          <w:u w:val="none"/>
          <w:shd w:val="clear" w:color="auto" w:fill="FFFFFF"/>
          <w:lang w:val="pt-BR" w:bidi="ar-SA"/>
        </w:rPr>
      </w:pPr>
    </w:p>
    <w:p w14:paraId="00CF1964">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14.2. O Contrato deverá ser executado fielmente pelas partes, de acordo com as cláusulas avençadas e as normas da Lei nº 14.133, de 1º de abril de 2021, e outras aplicáveis, respondendo cada parte, no que lhe competir, pelas consequências da inexecução total ou parcial.</w:t>
      </w:r>
    </w:p>
    <w:p w14:paraId="51106464">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687B9133">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14.3. As comunicações entre a Contratante e a Contratada deverão ser realizadas por escrito sempre que o ato exigir tal formalidade, admitindo-se o uso de mensagem eletrônica institucional para esse fim.</w:t>
      </w:r>
    </w:p>
    <w:p w14:paraId="69677710">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4F22661C">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14.4. A Contratante poderá convocar representante da empresa para adoção de providências que devam ser cumpridas de imediato.</w:t>
      </w:r>
    </w:p>
    <w:p w14:paraId="2537064D">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20E84A6C">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14.5. O contrato deverá ser acompanhado e fiscalizado por servidor designado como gestor e fiscal do contrato ou, em caso de afastamentos legais, por seus substitutos, devidamente designados por Portaria específica, preferencialmente por meio eletrônico, conforme o disposto na subseção V do Decreto Municipal nº 11.685/2023.</w:t>
      </w:r>
    </w:p>
    <w:p w14:paraId="296A73C9">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34B9CDA2">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14.6. O gestor e o fiscal do contrato são responsáveis por aplicar as ações estabelecidas sempre que for preciso e desempenhar com eficiência e zelo todas as atribuições que lhes são incumbidas na legislação aplicável, em especial aquelas previstas na Lei nº 14.133/2021, no Decreto Federal nº 11.246/2022 e no Decreto Municipal nº 11.685/2023, devendo a Administração Pública instruir os autos com as publicações dos atos de designação.</w:t>
      </w:r>
    </w:p>
    <w:p w14:paraId="1F8214C9">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548717BB">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14.7. Não obstante a Contratada seja a única e exclusiva responsável pela execução do contrato, a Contratante reserva-se o direito de exercer a mais ampla e completa fiscalização sobre a execução do objeto contratado, sem que de qualquer forma restrinja a plenitude dessa responsabilidade.</w:t>
      </w:r>
    </w:p>
    <w:p w14:paraId="2E6D222E">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6FC463FF">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14.8. O (A) Fiscal do Contrato informará a seus superiores, em tempo hábil, qualquer situação que demande decisão ou providência que ultrapasse sua competência.</w:t>
      </w:r>
    </w:p>
    <w:p w14:paraId="3D17D42C">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72BD2B4D">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14.9. A Contratada deverá manter preposto aceito pela Administração no local do serviço para representá-la na execução do contrato.</w:t>
      </w:r>
    </w:p>
    <w:p w14:paraId="1EEC3B37">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68662CC2">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14.10. A indicação ou a manutenção do preposto da empresa poderá ser recusada pela Contratante, desde que devidamente justificada, devendo a empresa designar outro para o exercício da atividade.</w:t>
      </w:r>
    </w:p>
    <w:p w14:paraId="03105B6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E74293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QUINTA – DAS ALTERAÇÕES</w:t>
      </w:r>
    </w:p>
    <w:p w14:paraId="6EEADCA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4C58B44">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15.1. </w:t>
      </w:r>
      <w:r>
        <w:rPr>
          <w:rFonts w:ascii="Times New Roman" w:hAnsi="Times New Roman" w:cs="Times New Roman"/>
          <w:b w:val="0"/>
          <w:i w:val="0"/>
          <w:caps w:val="0"/>
          <w:smallCaps w:val="0"/>
          <w:strike w:val="0"/>
          <w:color w:val="000000"/>
          <w:spacing w:val="0"/>
          <w:sz w:val="20"/>
          <w:szCs w:val="20"/>
          <w:u w:val="none"/>
          <w:lang w:val="pt-BR" w:bidi="ar-SA"/>
        </w:rPr>
        <w:t>O presente instrumento de contrato poderá ser alterado, com as devidas justificativas, nos casos previstos no Capítulo VII – Da Alteração dos Contratos e dos Preços, da Lei nº 14.133, de 1º de abril de 2021, especialmente conforme o disposto nos artigos 124 a 126.</w:t>
      </w:r>
    </w:p>
    <w:p w14:paraId="247195C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606313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SEXTA – DA EXTINÇÃO E DOS MOTIVOS PARA RESCISÃO</w:t>
      </w:r>
    </w:p>
    <w:p w14:paraId="3FEAB45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748AA6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16.1. A extinção do presente instrumento ocorrerá de acordo com o previsto nos artigos 137 a 141 da Lei nº 14.133, de 2021, conforme o caso.</w:t>
      </w:r>
    </w:p>
    <w:p w14:paraId="3105DFF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D739BF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16.2. A inexecução total ou parcial do CONTRATO enseja a sua extinção, com as consequências contratuais e legais previstas na Lei nº 14.133 de 2021.</w:t>
      </w:r>
    </w:p>
    <w:p w14:paraId="0BF02A2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4DAF0C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16.3. O presente contrato poderá ser rescindido caso ocorra um dos motivos previstos nos artigos 137 e 138 da Lei nº 14.133, de 2021. A extinção será formalizada conforme o disposto no art. 139, e acarretará as consequências previstas no art. 141 da referida Lei.</w:t>
      </w:r>
    </w:p>
    <w:p w14:paraId="4D481D6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2CDED3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16.4. A extinção, por algum dos motivos previstos, não dará à Contratada o direito a indenização a qualquer título, independentemente de interpelação judicial ou extrajudicial.</w:t>
      </w:r>
    </w:p>
    <w:p w14:paraId="5B292D2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C0F8F6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16.5. Fica expressamente acordado que, em caso de extinção, nenhuma remuneração será cabível, exceto o ressarcimento de despesas previamente autorizadas pela Contratante e comprovadamente realizadas pela Contratada, nos termos deste contrato.</w:t>
      </w:r>
    </w:p>
    <w:p w14:paraId="1D1BEF9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D68D255">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16.6 Em caso de cisão, incorporação ou fusão da Contratada com outras empresas, caberá à Contratante decidir sobre a continuidade do presente contrato.</w:t>
      </w:r>
    </w:p>
    <w:p w14:paraId="2968830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368145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SÉTIMA – DO REEQUILÍBRIO ECONÔMICO-FINANCEIRO</w:t>
      </w:r>
    </w:p>
    <w:p w14:paraId="542FD44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FE5E2A2">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17.1. Em havendo alteração unilateral do contrato que aumente os encargos da Contratada, a Contratante deverá restabelecer, por aditamento, o equilíbrio econômico-financeiro inicial, nos termos do art. 124, inciso I, e art. 137, inciso I, da Lei nº 14.133, de 2021.</w:t>
      </w:r>
    </w:p>
    <w:p w14:paraId="7D451A4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EC660C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17.2. A variação do valor contratual, as atualizações, compensações ou penalizações financeiras decorrentes das condições de pagamento nele previstas, bem como o empenho de dotações orçamentárias suplementares até o limite do seu valor corrigido, não caracterizam alteração do contrato, podendo ser registradas por simples apostila, dispensando a celebração de termo aditivo.</w:t>
      </w:r>
    </w:p>
    <w:p w14:paraId="0F9216C5">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BD82955">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17.3. O prazo para resposta aos pedidos de </w:t>
      </w:r>
      <w:r>
        <w:rPr>
          <w:rFonts w:ascii="Book Antiqua" w:hAnsi="Book Antiqua" w:cs="Book Antiqua"/>
          <w:b/>
          <w:i w:val="0"/>
          <w:caps w:val="0"/>
          <w:smallCaps w:val="0"/>
          <w:strike w:val="0"/>
          <w:color w:val="000000"/>
          <w:spacing w:val="0"/>
          <w:sz w:val="18"/>
          <w:szCs w:val="18"/>
          <w:u w:val="none"/>
          <w:shd w:val="clear" w:color="auto" w:fill="FFFFFF"/>
          <w:lang w:val="pt-BR" w:bidi="ar-SA"/>
        </w:rPr>
        <w:t>repactuação de preços</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ou restabelecimento do equilíbrio econômico-financeiro será de, no máximo, 60 (sessenta) dias, contados da data da solicitação, conforme §4º do art. 175 da Lei nº 14.133, de 2021.</w:t>
      </w:r>
    </w:p>
    <w:p w14:paraId="468AF04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22BEB6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OITAVA – DA LEI GERAL DE PROTEÇÃO DE DADOS – LGPD</w:t>
      </w:r>
    </w:p>
    <w:p w14:paraId="603ED62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13791B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18.1. A contratada deverá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5BA3404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CB0BC1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18.2. Os dados obtidos somente poderão ser utilizados para as finalidades que justificaram seu acesso e de acordo com a boa-fé e com os princípios do art. 6º da LGPD.</w:t>
      </w:r>
    </w:p>
    <w:p w14:paraId="55F1436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63054B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18.3. É vedado o compartilhamento com terceiros dos dados obtidos fora das hipóteses permitidas em Lei.</w:t>
      </w:r>
    </w:p>
    <w:p w14:paraId="1F3B166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EDC12D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18.4. A Administração deverá ser informada no prazo de 5 (cinco) dias úteis sobre todos os contratos de sub-operação firmados ou que venham a ser celebrados pelo Contratado.</w:t>
      </w:r>
    </w:p>
    <w:p w14:paraId="4F1E830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7C96F9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3B68E49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429D8B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18.6. É dever do Contratado orientar e treinar seus empregados sobre os deveres, requisitos e responsabilidades decorrentes da LGPD.</w:t>
      </w:r>
    </w:p>
    <w:p w14:paraId="6ECABF1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C28272C">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18.7. O Contratado deverá exigir de sub-operadores e subcontratados o cumprimento dos deveres da presente cláusula, permanecendo integralmente responsável por garantir sua observância.</w:t>
      </w:r>
    </w:p>
    <w:p w14:paraId="48AE041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E94EB5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18.8. O Contratado deverá prestar, no prazo fixado pelo Contratante, prorrogável justificadamente, quaisquer informações acerca dos dados pessoais para cumprimento da LGPD, inclusive quanto a eventual descarte realizado.</w:t>
      </w:r>
    </w:p>
    <w:p w14:paraId="6DE7C99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62FBE5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18.9.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51EC519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70F9CE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18.10. Os referidos bancos de dados devem ser desenvolvidos em formato interoperável, a fim de garantir a reutilização desses dados pela Administração nas hipóteses previstas na LGPD.</w:t>
      </w:r>
    </w:p>
    <w:p w14:paraId="620E725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B96982B">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18.11. O Contratado deverá adequar seus procedimentos quando indicado pela autoridade competente, em especial a ANPD por meio de opiniões técnicas ou recomendações, editadas na forma da LGPD.</w:t>
      </w:r>
    </w:p>
    <w:p w14:paraId="2448689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65A519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18.12. Os contratos e convênios de que trata o § 1º do art. 26 da LGPD deverão ser comunicados à autoridade nacional.</w:t>
      </w:r>
    </w:p>
    <w:p w14:paraId="2C5DD57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C25D9F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DÉCIMA NONA – MATRIZ DE RISCO</w:t>
      </w:r>
    </w:p>
    <w:p w14:paraId="5F6DF20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40B44A5">
      <w:pPr>
        <w:pStyle w:val="146"/>
        <w:spacing w:line="276" w:lineRule="auto"/>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19.1. Em atendimento ao disposto no art. 22, §3º, da Lei nº 14.133, de 1º de abril de 2021, e conforme o regime de </w:t>
      </w:r>
      <w:r>
        <w:rPr>
          <w:rFonts w:ascii="Book Antiqua" w:hAnsi="Book Antiqua" w:cs="Book Antiqua"/>
          <w:b/>
          <w:i w:val="0"/>
          <w:caps w:val="0"/>
          <w:smallCaps w:val="0"/>
          <w:strike w:val="0"/>
          <w:color w:val="000000"/>
          <w:spacing w:val="0"/>
          <w:sz w:val="18"/>
          <w:szCs w:val="18"/>
          <w:u w:val="none"/>
          <w:shd w:val="clear" w:color="auto" w:fill="FFFFFF"/>
          <w:lang w:val="pt-BR" w:bidi="ar-SA"/>
        </w:rPr>
        <w:t>execução indireta, sob EMPREITADA POR PREÇO UNITÁRIO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a presente obra </w:t>
      </w:r>
      <w:r>
        <w:rPr>
          <w:rFonts w:ascii="Book Antiqua" w:hAnsi="Book Antiqua" w:cs="Book Antiqua"/>
          <w:b/>
          <w:i w:val="0"/>
          <w:caps w:val="0"/>
          <w:smallCaps w:val="0"/>
          <w:strike w:val="0"/>
          <w:color w:val="000000"/>
          <w:spacing w:val="0"/>
          <w:sz w:val="18"/>
          <w:szCs w:val="18"/>
          <w:u w:val="none"/>
          <w:shd w:val="clear" w:color="auto" w:fill="FFFFFF"/>
          <w:lang w:val="pt-BR" w:bidi="ar-SA"/>
        </w:rPr>
        <w:t>poderá observar</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a Matriz de Riscos constante do Projeto Básico, parte integrante e indissociável deste contrato.</w:t>
      </w:r>
    </w:p>
    <w:p w14:paraId="4ED0ADDF">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0C62072C">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19.2. A Matriz de Riscos, quando aplicável, estabelece a alocação objetiva das responsabilidades entre a Contratante e a Contratada quanto a eventos supervenientes ou imprevistos que possam impactar a execução do objeto, conforme previsto no art. 22, §4º, da Lei nº 14.133/2021.</w:t>
      </w:r>
    </w:p>
    <w:p w14:paraId="6014B849">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6A52481E">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19.3. A transferência de riscos para a Contratada restringe-se àqueles passíveis de gestão por ela, não sendo admitida a transferência de riscos decorrentes de caso fortuito, força maior ou fatos da Administração, salvo expressa previsão em contrato ou na Matriz de Riscos, quando existente.</w:t>
      </w:r>
    </w:p>
    <w:p w14:paraId="11AFDFFC">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22D6B5BE">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19.4. As partes deverão observar rigorosamente as condições, responsabilidades e limites definidos na Matriz de Riscos, quando adotada, durante toda a execução contratual.</w:t>
      </w:r>
    </w:p>
    <w:p w14:paraId="1A244BE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B5501F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 DA SUBCONTRATAÇÃO</w:t>
      </w:r>
    </w:p>
    <w:p w14:paraId="4CC33CE0">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47D58B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 É vedada a subcontratação completa ou da parcela principal do objeto da contratação, ou das parcelas tecnicamente mais complexas, sendo admitida a subcontratação parcial do objeto, nas seguintes condições:</w:t>
      </w:r>
    </w:p>
    <w:p w14:paraId="47AD514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70BE64C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20.1.1. Caso previamente aprovada pela Secretaria Municipal de Infraestrutura, em regime de responsabilidade solidária, sem prejuízo das responsabilidades contratuais e legais, desde que não contemple os serviços exigidos na habilitação técnica constante do Projeto Básico, restrita, contudo, ao percentual máximo de 25% (vinte e cinco por cento) do valor contratado, conforme art. 122 da Lei nº 14.133, de 1º de abril de 2021.</w:t>
      </w:r>
    </w:p>
    <w:p w14:paraId="75E0E79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1046A3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20.1.2. 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subcontratado.</w:t>
      </w:r>
    </w:p>
    <w:p w14:paraId="49B17B2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FF32CF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20.1.3. A Contratada, ao requerer autorização para subcontratação de parte dos serviços, deverá comprovar perante a Administração a regularidade jurídica, fiscal e trabalhista de sua subcontratada, respondendo solidariamente com esta pelo inadimplemento dessas obrigações quando relacionadas com o objeto do contrato.</w:t>
      </w:r>
    </w:p>
    <w:p w14:paraId="0344F13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3491F5D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20.1.4. A Contratada responsabiliza-se pela padronização, compatibilidade, gerenciamento centralizado e qualidade da execução dos serviços subcontratados.</w:t>
      </w:r>
    </w:p>
    <w:p w14:paraId="21DC31C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DB483E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20.1.5. As empresas subcontratadas também deverão comprovar, perante a Secretaria Municipal de Infraestrutura, que estão em situação regular fiscal, previdenciária e trabalhista, e que entre seus diretores, responsáveis técnicos ou sócios não constam servidores, empregados ou ocupantes de cargo comissionado na Administração Pública Municipal.</w:t>
      </w:r>
    </w:p>
    <w:p w14:paraId="69FF8888">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p>
    <w:p w14:paraId="7C3C512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PRIMEIRA – DOS CASOS OMISSOS</w:t>
      </w:r>
    </w:p>
    <w:p w14:paraId="4A36BC9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48D0470">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21.1. Este contrato se regula pela Lei nº 14.133, de 1º de abril de 2021, por suas cláusulas e pelos preceitos de direito público, aplicando-se, supletivamente, os princípios da teoria geral dos contratos e as disposições de direito privado.</w:t>
      </w:r>
    </w:p>
    <w:p w14:paraId="531474B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A6F850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SEGUNDA – DA ANÁLISE</w:t>
      </w:r>
    </w:p>
    <w:p w14:paraId="6745E61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854B90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22.1. A minuta do presente instrumento de contrato foi previamente examinada pela Procuradoria-Geral do Município de Rondonópolis/MT, conforme determina a legislação em vigor.</w:t>
      </w:r>
    </w:p>
    <w:p w14:paraId="0AD7FAB1">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1BDA17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TERCEIRA - DA PUBLICAÇÃO</w:t>
      </w:r>
    </w:p>
    <w:p w14:paraId="4A024F5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CB1B83F">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23.1. A publicação resumida deste instrumento no Diário Oficial do Município e no sítio eletrônico do Portal Nacional de Contratações Públicas – PNCP, bem como no site da Prefeitura Municipal de Rondonópolis, que é condição indispensável para sua eficácia, será providenciada pela Administração até o quinto dia útil do mês seguinte ao de sua assinatura, devendo ocorrer no prazo máximo de vinte dias daquela data.</w:t>
      </w:r>
    </w:p>
    <w:p w14:paraId="7B5F1F9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641A3561">
      <w:pPr>
        <w:pStyle w:val="169"/>
        <w:spacing w:line="276" w:lineRule="auto"/>
        <w:jc w:val="both"/>
        <w:rPr>
          <w:rFonts w:ascii="Times New Roman" w:hAnsi="Times New Roman" w:cs="Times New Roman"/>
          <w:b/>
          <w:i w:val="0"/>
          <w:caps w:val="0"/>
          <w:smallCaps w:val="0"/>
          <w:strike w:val="0"/>
          <w:color w:val="000000"/>
          <w:spacing w:val="0"/>
          <w:sz w:val="24"/>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QUARTA – DAS DISPOSIÇÕES FINAIS E DA PRORROGAÇÃO</w:t>
      </w:r>
    </w:p>
    <w:p w14:paraId="70457E3C">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797D9E13">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24.1. Os casos omissos serão resolvidos pela Contratante à luz da legislação vigente, especialmente da Lei nº 14.133/2021, do Edital e de seus Anexos, observados os princípios da legalidade, impessoalidade, moralidade, publicidade e eficiência.</w:t>
      </w:r>
    </w:p>
    <w:p w14:paraId="245FFAAE">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7244D6EA">
      <w:pPr>
        <w:pStyle w:val="146"/>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24.2. O presente Contrato poderá ter sua vigência prorrogada nas hipóteses e limites do </w:t>
      </w:r>
      <w:r>
        <w:rPr>
          <w:rFonts w:ascii="Book Antiqua" w:hAnsi="Book Antiqua" w:cs="Book Antiqua"/>
          <w:b/>
          <w:i w:val="0"/>
          <w:caps w:val="0"/>
          <w:smallCaps w:val="0"/>
          <w:strike w:val="0"/>
          <w:color w:val="000000"/>
          <w:spacing w:val="0"/>
          <w:sz w:val="18"/>
          <w:szCs w:val="18"/>
          <w:u w:val="none"/>
          <w:shd w:val="clear" w:color="auto" w:fill="FFFFFF"/>
          <w:lang w:val="pt-BR" w:bidi="ar-SA"/>
        </w:rPr>
        <w:t>art. 107 da Lei nº 14.133/2021</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mediante termo aditivo devidamente motivado, observado o interesse público e a disponibilidade orçamentária, </w:t>
      </w:r>
      <w:r>
        <w:rPr>
          <w:rFonts w:ascii="Book Antiqua" w:hAnsi="Book Antiqua" w:cs="Book Antiqua"/>
          <w:b/>
          <w:i w:val="0"/>
          <w:caps w:val="0"/>
          <w:smallCaps w:val="0"/>
          <w:strike w:val="0"/>
          <w:color w:val="000000"/>
          <w:spacing w:val="0"/>
          <w:sz w:val="18"/>
          <w:szCs w:val="18"/>
          <w:u w:val="none"/>
          <w:shd w:val="clear" w:color="auto" w:fill="FFFFFF"/>
          <w:lang w:val="pt-BR" w:bidi="ar-SA"/>
        </w:rPr>
        <w:t>por até 12 (doze) meses</w:t>
      </w:r>
      <w:r>
        <w:rPr>
          <w:rFonts w:ascii="Book Antiqua" w:hAnsi="Book Antiqua" w:cs="Book Antiqua"/>
          <w:b w:val="0"/>
          <w:i w:val="0"/>
          <w:caps w:val="0"/>
          <w:smallCaps w:val="0"/>
          <w:strike w:val="0"/>
          <w:color w:val="000000"/>
          <w:spacing w:val="0"/>
          <w:sz w:val="18"/>
          <w:szCs w:val="18"/>
          <w:u w:val="none"/>
          <w:shd w:val="clear" w:color="auto" w:fill="FFFFFF"/>
          <w:lang w:val="pt-BR" w:bidi="ar-SA"/>
        </w:rPr>
        <w:t>, ou por prazo diverso que venha a ser expressamente autorizado pela autoridade competente, conforme a natureza do objeto.</w:t>
      </w:r>
    </w:p>
    <w:p w14:paraId="11AEFAE1">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3F312D27">
      <w:pPr>
        <w:pStyle w:val="146"/>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24.3. O </w:t>
      </w:r>
      <w:r>
        <w:rPr>
          <w:rFonts w:ascii="Book Antiqua" w:hAnsi="Book Antiqua" w:cs="Book Antiqua"/>
          <w:b/>
          <w:i w:val="0"/>
          <w:caps w:val="0"/>
          <w:smallCaps w:val="0"/>
          <w:strike w:val="0"/>
          <w:color w:val="000000"/>
          <w:spacing w:val="0"/>
          <w:sz w:val="18"/>
          <w:szCs w:val="18"/>
          <w:u w:val="none"/>
          <w:shd w:val="clear" w:color="auto" w:fill="FFFFFF"/>
          <w:lang w:val="pt-BR" w:bidi="ar-SA"/>
        </w:rPr>
        <w:t>prazo de execução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poderá ser prorrogado mediante termo aditivo quando comprovadamente necessário, nas hipóteses legais aplicáveis, incluindo, sem se limitar a:</w:t>
      </w:r>
    </w:p>
    <w:p w14:paraId="5858F918">
      <w:pPr>
        <w:pStyle w:val="146"/>
        <w:spacing w:after="240"/>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br w:type="textWrapping"/>
      </w:r>
      <w:r>
        <w:rPr>
          <w:rFonts w:ascii="Book Antiqua" w:hAnsi="Book Antiqua" w:cs="Book Antiqua"/>
          <w:b w:val="0"/>
          <w:i w:val="0"/>
          <w:caps w:val="0"/>
          <w:smallCaps w:val="0"/>
          <w:strike w:val="0"/>
          <w:color w:val="000000"/>
          <w:spacing w:val="0"/>
          <w:sz w:val="18"/>
          <w:szCs w:val="18"/>
          <w:u w:val="none"/>
          <w:shd w:val="clear" w:color="auto" w:fill="FFFFFF"/>
          <w:lang w:val="pt-BR" w:bidi="ar-SA"/>
        </w:rPr>
        <w:t>I – ocorrência de fato superveniente devidamente comprovado, alheio à vontade das partes, que altere as condições de execução, inclusive caso fortuito ou força maior;</w:t>
      </w:r>
    </w:p>
    <w:p w14:paraId="59BDDFE2">
      <w:pPr>
        <w:pStyle w:val="146"/>
        <w:spacing w:before="0" w:after="240"/>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II – alteração do projeto ou das especificações, por necessidade técnica ou por melhor adequação ao interesse público, que repercuta no cronograma;</w:t>
      </w:r>
    </w:p>
    <w:p w14:paraId="43D6DDED">
      <w:pPr>
        <w:pStyle w:val="146"/>
        <w:spacing w:before="0" w:after="283"/>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III – interrupção da execução ou diminuição do ritmo por ordem da Administração;</w:t>
      </w:r>
    </w:p>
    <w:p w14:paraId="30DDB3DA">
      <w:pPr>
        <w:pStyle w:val="146"/>
        <w:spacing w:before="0" w:after="283"/>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IV – impedimentos ou embaraços de terceiros, inclusive atraso na liberação de áreas, interdições, restrições de tráfego e atos de outros entes/órgãos que afetem o cronograma;</w:t>
      </w:r>
    </w:p>
    <w:p w14:paraId="2DA1E73D">
      <w:pPr>
        <w:pStyle w:val="146"/>
        <w:spacing w:before="0" w:after="283"/>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V – atrasos na obtenção de licenças/autorizações ou em aprovações indispensáveis, quando não imputáveis à Contratada;</w:t>
      </w:r>
    </w:p>
    <w:p w14:paraId="74C8C145">
      <w:pPr>
        <w:pStyle w:val="146"/>
        <w:spacing w:before="0" w:after="283"/>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VI – aumento ou decréscimo de quantidades dentro dos limites legais que impacte o prazo originalmente pactuado;</w:t>
      </w:r>
    </w:p>
    <w:p w14:paraId="17474C7F">
      <w:pPr>
        <w:pStyle w:val="146"/>
        <w:spacing w:before="0" w:after="283"/>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VII – atraso de pagamento por parte da Administração superior a </w:t>
      </w:r>
      <w:r>
        <w:rPr>
          <w:rFonts w:ascii="Book Antiqua" w:hAnsi="Book Antiqua" w:cs="Book Antiqua"/>
          <w:b/>
          <w:i w:val="0"/>
          <w:caps w:val="0"/>
          <w:smallCaps w:val="0"/>
          <w:strike w:val="0"/>
          <w:color w:val="000000"/>
          <w:spacing w:val="0"/>
          <w:sz w:val="18"/>
          <w:szCs w:val="18"/>
          <w:u w:val="none"/>
          <w:shd w:val="clear" w:color="auto" w:fill="FFFFFF"/>
          <w:lang w:val="pt-BR" w:bidi="ar-SA"/>
        </w:rPr>
        <w:t>90 (noventa)</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dias, quando gerar impacto direto e comprovado no cronograma físico-financeiro;</w:t>
      </w:r>
    </w:p>
    <w:p w14:paraId="530E9F61">
      <w:pPr>
        <w:pStyle w:val="146"/>
        <w:spacing w:before="0" w:after="283"/>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VIII – necessidade de adequações técnicas determinadas pela Administração e devidamente justificadas, quando houver impacto direto no cronograma da execução contratual.</w:t>
      </w:r>
    </w:p>
    <w:p w14:paraId="645AD5ED">
      <w:pPr>
        <w:pStyle w:val="146"/>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24.4. As prorrogações referidas nos itens 24.2 e 24.3 dependerão de pedido formal da parte interessada, devidamente justificado e instruído com documentos comprobatórios, protocolado com antecedência mínima de </w:t>
      </w:r>
      <w:r>
        <w:rPr>
          <w:rFonts w:ascii="Book Antiqua" w:hAnsi="Book Antiqua" w:cs="Book Antiqua"/>
          <w:b/>
          <w:i w:val="0"/>
          <w:caps w:val="0"/>
          <w:smallCaps w:val="0"/>
          <w:strike w:val="0"/>
          <w:color w:val="000000"/>
          <w:spacing w:val="0"/>
          <w:sz w:val="18"/>
          <w:szCs w:val="18"/>
          <w:u w:val="none"/>
          <w:shd w:val="clear" w:color="auto" w:fill="FFFFFF"/>
          <w:lang w:val="pt-BR" w:bidi="ar-SA"/>
        </w:rPr>
        <w:t>30 (trinta) dias</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da data prevista para o término da vigência ou da etapa afetada, salvo motivo superveniente que impeça esse cumprimento.</w:t>
      </w:r>
    </w:p>
    <w:p w14:paraId="5C0C9DF4">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745944F4">
      <w:pPr>
        <w:pStyle w:val="146"/>
        <w:rPr>
          <w:rFonts w:ascii="Arial" w:hAnsi="Arial" w:cs="Arial"/>
          <w:b/>
          <w:i w:val="0"/>
          <w:caps w:val="0"/>
          <w:smallCaps w:val="0"/>
          <w:strike w:val="0"/>
          <w:color w:val="000000"/>
          <w:spacing w:val="0"/>
          <w:sz w:val="24"/>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24.5. O termo aditivo que formalizar a prorrogação indicará, necessariamente: (i) a motivação; (ii) o novo prazo (vigência e/ou execução); (iii) os ajustes no cronograma físico-financeiro; e (iv) a manutenção do equilíbrio econômico-financeiro, quando cabível.</w:t>
      </w:r>
    </w:p>
    <w:p w14:paraId="0DAEA335">
      <w:pPr>
        <w:pStyle w:val="146"/>
        <w:rPr>
          <w:rFonts w:ascii="Arial" w:hAnsi="Arial" w:cs="Arial"/>
          <w:b/>
          <w:i w:val="0"/>
          <w:caps w:val="0"/>
          <w:smallCaps w:val="0"/>
          <w:strike w:val="0"/>
          <w:color w:val="000000"/>
          <w:spacing w:val="0"/>
          <w:sz w:val="24"/>
          <w:szCs w:val="20"/>
          <w:u w:val="none"/>
          <w:shd w:val="clear" w:color="auto" w:fill="FFFFFF"/>
          <w:lang w:val="pt-BR" w:bidi="ar-SA"/>
        </w:rPr>
      </w:pPr>
    </w:p>
    <w:p w14:paraId="2383F2BC">
      <w:pPr>
        <w:pStyle w:val="146"/>
        <w:rPr>
          <w:rFonts w:ascii="Arial" w:hAnsi="Arial" w:cs="Arial"/>
          <w:b/>
          <w:i w:val="0"/>
          <w:caps w:val="0"/>
          <w:smallCaps w:val="0"/>
          <w:strike w:val="0"/>
          <w:color w:val="000000"/>
          <w:spacing w:val="0"/>
          <w:sz w:val="24"/>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24.6. A prorrogação </w:t>
      </w:r>
      <w:r>
        <w:rPr>
          <w:rFonts w:ascii="Book Antiqua" w:hAnsi="Book Antiqua" w:cs="Book Antiqua"/>
          <w:b/>
          <w:i w:val="0"/>
          <w:caps w:val="0"/>
          <w:smallCaps w:val="0"/>
          <w:strike w:val="0"/>
          <w:color w:val="000000"/>
          <w:spacing w:val="0"/>
          <w:sz w:val="18"/>
          <w:szCs w:val="18"/>
          <w:u w:val="none"/>
          <w:shd w:val="clear" w:color="auto" w:fill="FFFFFF"/>
          <w:lang w:val="pt-BR" w:bidi="ar-SA"/>
        </w:rPr>
        <w:t>não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constituirá direito subjetivo da Contratada, ficando condicionada à </w:t>
      </w:r>
      <w:r>
        <w:rPr>
          <w:rFonts w:ascii="Book Antiqua" w:hAnsi="Book Antiqua" w:cs="Book Antiqua"/>
          <w:b/>
          <w:i w:val="0"/>
          <w:caps w:val="0"/>
          <w:smallCaps w:val="0"/>
          <w:strike w:val="0"/>
          <w:color w:val="000000"/>
          <w:spacing w:val="0"/>
          <w:sz w:val="18"/>
          <w:szCs w:val="18"/>
          <w:u w:val="none"/>
          <w:shd w:val="clear" w:color="auto" w:fill="FFFFFF"/>
          <w:lang w:val="pt-BR" w:bidi="ar-SA"/>
        </w:rPr>
        <w:t>vantajosidade</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à </w:t>
      </w:r>
      <w:r>
        <w:rPr>
          <w:rFonts w:ascii="Book Antiqua" w:hAnsi="Book Antiqua" w:cs="Book Antiqua"/>
          <w:b/>
          <w:i w:val="0"/>
          <w:caps w:val="0"/>
          <w:smallCaps w:val="0"/>
          <w:strike w:val="0"/>
          <w:color w:val="000000"/>
          <w:spacing w:val="0"/>
          <w:sz w:val="18"/>
          <w:szCs w:val="18"/>
          <w:u w:val="none"/>
          <w:shd w:val="clear" w:color="auto" w:fill="FFFFFF"/>
          <w:lang w:val="pt-BR" w:bidi="ar-SA"/>
        </w:rPr>
        <w:t>disponibilidade orçamentária</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ao </w:t>
      </w:r>
      <w:r>
        <w:rPr>
          <w:rFonts w:ascii="Book Antiqua" w:hAnsi="Book Antiqua" w:cs="Book Antiqua"/>
          <w:b/>
          <w:i w:val="0"/>
          <w:caps w:val="0"/>
          <w:smallCaps w:val="0"/>
          <w:strike w:val="0"/>
          <w:color w:val="000000"/>
          <w:spacing w:val="0"/>
          <w:sz w:val="18"/>
          <w:szCs w:val="18"/>
          <w:u w:val="none"/>
          <w:shd w:val="clear" w:color="auto" w:fill="FFFFFF"/>
          <w:lang w:val="pt-BR" w:bidi="ar-SA"/>
        </w:rPr>
        <w:t>interesse público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e à </w:t>
      </w:r>
      <w:r>
        <w:rPr>
          <w:rFonts w:ascii="Book Antiqua" w:hAnsi="Book Antiqua" w:cs="Book Antiqua"/>
          <w:b/>
          <w:i w:val="0"/>
          <w:caps w:val="0"/>
          <w:smallCaps w:val="0"/>
          <w:strike w:val="0"/>
          <w:color w:val="000000"/>
          <w:spacing w:val="0"/>
          <w:sz w:val="18"/>
          <w:szCs w:val="18"/>
          <w:u w:val="none"/>
          <w:shd w:val="clear" w:color="auto" w:fill="FFFFFF"/>
          <w:lang w:val="pt-BR" w:bidi="ar-SA"/>
        </w:rPr>
        <w:t>manutenção das condições de habilitação</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podendo ser </w:t>
      </w:r>
      <w:r>
        <w:rPr>
          <w:rFonts w:ascii="Book Antiqua" w:hAnsi="Book Antiqua" w:cs="Book Antiqua"/>
          <w:b/>
          <w:i w:val="0"/>
          <w:caps w:val="0"/>
          <w:smallCaps w:val="0"/>
          <w:strike w:val="0"/>
          <w:color w:val="000000"/>
          <w:spacing w:val="0"/>
          <w:sz w:val="18"/>
          <w:szCs w:val="18"/>
          <w:u w:val="none"/>
          <w:shd w:val="clear" w:color="auto" w:fill="FFFFFF"/>
          <w:lang w:val="pt-BR" w:bidi="ar-SA"/>
        </w:rPr>
        <w:t>indeferida</w:t>
      </w: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pela Administração mediante decisão motivada.</w:t>
      </w:r>
    </w:p>
    <w:p w14:paraId="2D96BDB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0B2824A8">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i w:val="0"/>
          <w:caps w:val="0"/>
          <w:smallCaps w:val="0"/>
          <w:strike w:val="0"/>
          <w:color w:val="000000"/>
          <w:spacing w:val="0"/>
          <w:sz w:val="18"/>
          <w:szCs w:val="18"/>
          <w:u w:val="none"/>
          <w:shd w:val="clear" w:color="auto" w:fill="FFFFFF"/>
          <w:lang w:val="pt-BR" w:bidi="ar-SA"/>
        </w:rPr>
        <w:t>CLÁUSULA VIGÉSIMA QUINTA – DO FORO</w:t>
      </w:r>
    </w:p>
    <w:p w14:paraId="1E8DB1CF">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2C7D00B6">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25.1 </w:t>
      </w:r>
      <w:r>
        <w:rPr>
          <w:rFonts w:ascii="Times New Roman" w:hAnsi="Times New Roman" w:cs="Times New Roman"/>
          <w:b w:val="0"/>
          <w:i w:val="0"/>
          <w:caps w:val="0"/>
          <w:smallCaps w:val="0"/>
          <w:strike w:val="0"/>
          <w:color w:val="000000"/>
          <w:spacing w:val="0"/>
          <w:sz w:val="20"/>
          <w:szCs w:val="20"/>
          <w:u w:val="none"/>
          <w:lang w:val="pt-BR" w:bidi="ar-SA"/>
        </w:rPr>
        <w:t>Fica eleito o Foro da Comarca de Rondonópolis/MT para dirimir quaisquer dúvidas oriundas das obrigações previstas neste Contrato, com renúncia expressa a qualquer outro, por mais privilegiado que seja.</w:t>
      </w:r>
    </w:p>
    <w:p w14:paraId="50AD7F1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5DF493D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E por estarem assim, justos e contratados, firmam o presente instrumento em três vias de igual teor e forma, na presença das testemunhas abaixo assinadas.</w:t>
      </w:r>
    </w:p>
    <w:p w14:paraId="7498FE3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4DE5C15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Rondonópolis/MT,         /         /2026.</w:t>
      </w:r>
    </w:p>
    <w:p w14:paraId="0AC51363">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EC7859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_________________________________</w:t>
      </w:r>
    </w:p>
    <w:p w14:paraId="0C45471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________________________________</w:t>
      </w:r>
    </w:p>
    <w:p w14:paraId="19366B24">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Nome completo do prefeito</w:t>
      </w:r>
    </w:p>
    <w:p w14:paraId="14FB203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871854E">
      <w:pPr>
        <w:pStyle w:val="143"/>
        <w:spacing w:line="276" w:lineRule="auto"/>
        <w:jc w:val="both"/>
        <w:rPr>
          <w:rFonts w:ascii="Times New Roman" w:hAnsi="Times New Roman" w:cs="Times New Roman"/>
          <w:b w:val="0"/>
          <w:i w:val="0"/>
          <w:caps w:val="0"/>
          <w:smallCaps w:val="0"/>
          <w:strike w:val="0"/>
          <w:color w:val="000000"/>
          <w:spacing w:val="0"/>
          <w:sz w:val="20"/>
          <w:szCs w:val="20"/>
          <w:u w:val="none"/>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 xml:space="preserve"> Contratante</w:t>
      </w:r>
    </w:p>
    <w:p w14:paraId="28BD982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Contratada</w:t>
      </w:r>
    </w:p>
    <w:p w14:paraId="0DB26227">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TESTEMUNHAS:</w:t>
      </w:r>
    </w:p>
    <w:p w14:paraId="4933417B">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p w14:paraId="193B7369">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Nome:</w:t>
      </w:r>
    </w:p>
    <w:p w14:paraId="40CF898E">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CPF:</w:t>
      </w:r>
    </w:p>
    <w:p w14:paraId="1B8AF8CA">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R.G.</w:t>
      </w:r>
    </w:p>
    <w:p w14:paraId="095D8C7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Nome:</w:t>
      </w:r>
    </w:p>
    <w:p w14:paraId="7C446416">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CPF:</w:t>
      </w:r>
    </w:p>
    <w:p w14:paraId="2E4E0CAD">
      <w:pPr>
        <w:pStyle w:val="143"/>
        <w:spacing w:line="276" w:lineRule="auto"/>
        <w:jc w:val="both"/>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r>
        <w:rPr>
          <w:rFonts w:ascii="Book Antiqua" w:hAnsi="Book Antiqua" w:cs="Book Antiqua"/>
          <w:b w:val="0"/>
          <w:i w:val="0"/>
          <w:caps w:val="0"/>
          <w:smallCaps w:val="0"/>
          <w:strike w:val="0"/>
          <w:color w:val="000000"/>
          <w:spacing w:val="0"/>
          <w:sz w:val="18"/>
          <w:szCs w:val="18"/>
          <w:u w:val="none"/>
          <w:shd w:val="clear" w:color="auto" w:fill="FFFFFF"/>
          <w:lang w:val="pt-BR" w:bidi="ar-SA"/>
        </w:rPr>
        <w:t>R.G</w:t>
      </w:r>
    </w:p>
    <w:p w14:paraId="124AF079">
      <w:pPr>
        <w:pStyle w:val="143"/>
        <w:spacing w:line="276" w:lineRule="auto"/>
        <w:rPr>
          <w:rFonts w:ascii="Times New Roman" w:hAnsi="Times New Roman" w:cs="Times New Roman"/>
          <w:b w:val="0"/>
          <w:i w:val="0"/>
          <w:caps w:val="0"/>
          <w:smallCaps w:val="0"/>
          <w:strike w:val="0"/>
          <w:color w:val="000000"/>
          <w:spacing w:val="0"/>
          <w:sz w:val="20"/>
          <w:szCs w:val="20"/>
          <w:u w:val="none"/>
          <w:shd w:val="clear" w:color="auto" w:fill="FFFFFF"/>
          <w:lang w:val="pt-BR" w:bidi="ar-SA"/>
        </w:rPr>
      </w:pPr>
    </w:p>
    <w:sectPr>
      <w:type w:val="continuous"/>
      <w:pgSz w:w="11905" w:h="16837"/>
      <w:pgMar w:top="1134" w:right="1133" w:bottom="1203" w:left="1701" w:header="996" w:footer="264" w:gutter="0"/>
      <w:pgNumType w:fmt="decimal"/>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86"/>
    <w:family w:val="swiss"/>
    <w:pitch w:val="default"/>
    <w:sig w:usb0="E0002EFF" w:usb1="C000785B" w:usb2="00000009" w:usb3="00000000" w:csb0="400001FF" w:csb1="FFFF0000"/>
  </w:font>
  <w:font w:name="Liberation Serif">
    <w:altName w:val="Times New Roman"/>
    <w:panose1 w:val="02020603050405020304"/>
    <w:charset w:val="00"/>
    <w:family w:val="auto"/>
    <w:pitch w:val="default"/>
    <w:sig w:usb0="00000000" w:usb1="00000000" w:usb2="00000000" w:usb3="00000000" w:csb0="00000000" w:csb1="00000000"/>
  </w:font>
  <w:font w:name="Liberation Sans">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aramond">
    <w:altName w:val="Times New Roman"/>
    <w:panose1 w:val="020206030504050203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OpenSymbol">
    <w:altName w:val="Segoe Print"/>
    <w:panose1 w:val="05010000000000000000"/>
    <w:charset w:val="00"/>
    <w:family w:val="auto"/>
    <w:pitch w:val="default"/>
    <w:sig w:usb0="00000000" w:usb1="00000000" w:usb2="00000000" w:usb3="00000000" w:csb0="00000000" w:csb1="00000000"/>
  </w:font>
  <w:font w:name="Book Antiqua">
    <w:altName w:val="Palatino Linotype"/>
    <w:panose1 w:val="020405020505050303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Century Gothic">
    <w:altName w:val="Corbel"/>
    <w:panose1 w:val="020B0503020204020204"/>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0" w:type="dxa"/>
        <w:bottom w:w="0" w:type="dxa"/>
        <w:right w:w="100" w:type="dxa"/>
      </w:tblCellMar>
    </w:tblPr>
    <w:tblGrid>
      <w:gridCol w:w="9354"/>
    </w:tblGrid>
    <w:tr w14:paraId="09A6A45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0" w:type="dxa"/>
          <w:bottom w:w="0" w:type="dxa"/>
          <w:right w:w="100" w:type="dxa"/>
        </w:tblCellMar>
      </w:tblPrEx>
      <w:trPr>
        <w:trHeight w:val="709" w:hRule="atLeast"/>
      </w:trPr>
      <w:tc>
        <w:tcPr>
          <w:tcW w:w="9354" w:type="dxa"/>
          <w:tcMar>
            <w:top w:w="15" w:type="dxa"/>
            <w:left w:w="15" w:type="dxa"/>
            <w:bottom w:w="15" w:type="dxa"/>
            <w:right w:w="15" w:type="dxa"/>
          </w:tcMar>
          <w:vAlign w:val="top"/>
        </w:tcPr>
        <w:p w14:paraId="31CD4D7D">
          <w:pPr>
            <w:pBdr>
              <w:top w:val="none" w:color="000000" w:sz="0" w:space="0"/>
              <w:left w:val="none" w:color="000000" w:sz="0" w:space="0"/>
              <w:bottom w:val="none" w:color="000000" w:sz="0" w:space="0"/>
              <w:right w:val="none" w:color="000000" w:sz="0" w:space="0"/>
            </w:pBdr>
            <w:tabs>
              <w:tab w:val="left" w:pos="4400"/>
              <w:tab w:val="left" w:pos="8820"/>
            </w:tabs>
            <w:spacing w:after="0" w:line="240" w:lineRule="auto"/>
            <w:ind w:left="0" w:right="0" w:firstLine="0"/>
            <w:jc w:val="center"/>
            <w:rPr>
              <w:sz w:val="20"/>
              <w:szCs w:val="20"/>
            </w:rPr>
          </w:pPr>
          <w:r>
            <w:rPr>
              <w:rFonts w:ascii="Arial" w:hAnsi="Arial" w:eastAsia="Arial" w:cs="Arial"/>
              <w:b/>
              <w:color w:val="000000"/>
              <w:sz w:val="20"/>
              <w:szCs w:val="20"/>
            </w:rPr>
            <w:t>Av. Duque de Caxias, 1000 – Vila Aurora – CEP 78740-100 – Rondonópolis/MT</w:t>
          </w:r>
        </w:p>
        <w:p w14:paraId="41760474">
          <w:pPr>
            <w:pBdr>
              <w:top w:val="none" w:color="000000" w:sz="0" w:space="0"/>
              <w:left w:val="none" w:color="000000" w:sz="0" w:space="0"/>
              <w:bottom w:val="none" w:color="000000" w:sz="0" w:space="0"/>
              <w:right w:val="none" w:color="000000" w:sz="0" w:space="0"/>
            </w:pBdr>
            <w:tabs>
              <w:tab w:val="left" w:pos="4400"/>
              <w:tab w:val="left" w:pos="8820"/>
            </w:tabs>
            <w:spacing w:after="0" w:line="240" w:lineRule="auto"/>
            <w:ind w:left="0" w:right="0" w:firstLine="0"/>
            <w:jc w:val="center"/>
          </w:pPr>
          <w:r>
            <w:rPr>
              <w:sz w:val="20"/>
            </w:rPr>
            <mc:AlternateContent>
              <mc:Choice Requires="wps">
                <w:drawing>
                  <wp:anchor distT="0" distB="0" distL="114300" distR="114300" simplePos="0" relativeHeight="251660288" behindDoc="0" locked="0" layoutInCell="1" allowOverlap="1">
                    <wp:simplePos x="0" y="0"/>
                    <wp:positionH relativeFrom="margin">
                      <wp:posOffset>5018405</wp:posOffset>
                    </wp:positionH>
                    <wp:positionV relativeFrom="paragraph">
                      <wp:posOffset>130810</wp:posOffset>
                    </wp:positionV>
                    <wp:extent cx="1828800" cy="182880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D81B2">
                                <w:pPr>
                                  <w:pStyle w:val="5"/>
                                </w:pPr>
                                <w:r>
                                  <w:t xml:space="preserve">Página </w:t>
                                </w:r>
                                <w:r>
                                  <w:fldChar w:fldCharType="begin"/>
                                </w:r>
                                <w:r>
                                  <w:instrText xml:space="preserve"> PAGE  \* MERGEFORMAT </w:instrText>
                                </w:r>
                                <w:r>
                                  <w:fldChar w:fldCharType="separate"/>
                                </w:r>
                                <w:r>
                                  <w:t>1</w:t>
                                </w:r>
                                <w:r>
                                  <w:fldChar w:fldCharType="end"/>
                                </w:r>
                                <w:r>
                                  <w:t xml:space="preserve"> de </w:t>
                                </w:r>
                                <w:r>
                                  <w:fldChar w:fldCharType="begin"/>
                                </w:r>
                                <w:r>
                                  <w:instrText xml:space="preserve"> NUMPAGES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5.15pt;margin-top:10.3pt;height:144pt;width:144pt;mso-position-horizontal-relative:margin;mso-wrap-style:none;z-index:251660288;mso-width-relative:page;mso-height-relative:page;" filled="f" stroked="f" coordsize="21600,21600" o:gfxdata="UEsDBAoAAAAAAIdO4kAAAAAAAAAAAAAAAAAEAAAAZHJzL1BLAwQUAAAACACHTuJApSdkctcAAAAL&#10;AQAADwAAAGRycy9kb3ducmV2LnhtbE2Py07DMBBF90j8gzVI7KjdBqUhZFKJirBEomHB0o2HJOBH&#10;ZLtp+HvcFSxn5ujOudVuMZrN5MPoLMJ6JYCR7ZwabY/w3jZ3BbAQpVVSO0sIPxRgV19fVbJU7mzf&#10;aD7EnqUQG0qJMMQ4lZyHbiAjw8pNZNPt03kjYxp9z5WX5xRuNN8IkXMjR5s+DHKi/UDd9+FkEPZN&#10;2/qZgtcf9NJkX69P9/S8IN7erMUjsEhL/IPhop/UoU5OR3eyKjCNsH0QWUIRNiIHdgHEtkibI0Im&#10;ihx4XfH/HepfUEsDBBQAAAAIAIdO4kCBbGtuJwIAAGYEAAAOAAAAZHJzL2Uyb0RvYy54bWytVMFu&#10;2zAMvQ/YPwi6r06yrgiCOkWWoMOAYC2QFjsrshwLkERBUmpnX78nO06HbocedpEpkXrUeyR9e9dZ&#10;w15UiJpcyadXE86Uk1Rpdyj589P9pzlnMQlXCUNOlfykIr9bfvxw2/qFmlFDplKBAcTFRetL3qTk&#10;F0URZaOsiFfklYOzpmBFwjYciiqIFujWFLPJ5KZoKVQ+kFQx4nQzOPkZMbwHkOpaS7UhebTKpQE1&#10;KCMSKMVG+8iX/WvrWsn0UNdRJWZKDqapX5EE9j6vxfJWLA5B+EbL8xPEe57whpMV2iHpBWojkmDH&#10;oP+CsloGilSnK0m2GIj0ioDFdPJGm10jvOq5QOroL6LH/wcrf7w8Bqarkl9z5oRFwddCd4JVij2p&#10;LhG7zhq1Pi4QuvMITt1X6tA543nEYabe1cHmL0gx+KHw6aIwkJjMl+az+XwCl4Rv3AC/eL3uQ0zf&#10;FFmWjZIHlLBXVrxsYxpCx5CczdG9NqYvo3GsLfnN5y+T/sLFA3DjkCOTGB6brdTtuzOzPVUnEAs0&#10;tEf08l4j+VbE9CgC+gEPxsSkByy1ISShs8VZQ+HXv85zPMoEL2ct+qvkDuPEmfnuUD4AptEIo7Ef&#10;DXe0a0LDTjGJXvYmLoRkRrMOZH9ijFY5B1zCSWQqeRrNdRp6HGMo1WrVBx190IdmuIDm8yJt3c7L&#10;nCYLGf3qmCBmr3EWaFDlrBvar6/SeVRyf/+576Nefw/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UnZHLXAAAACwEAAA8AAAAAAAAAAQAgAAAAIgAAAGRycy9kb3ducmV2LnhtbFBLAQIUABQAAAAI&#10;AIdO4kCBbGtuJwIAAGYEAAAOAAAAAAAAAAEAIAAAACYBAABkcnMvZTJvRG9jLnhtbFBLBQYAAAAA&#10;BgAGAFkBAAC/BQAAAAA=&#10;">
                    <v:fill on="f" focussize="0,0"/>
                    <v:stroke on="f" weight="0.5pt"/>
                    <v:imagedata o:title=""/>
                    <o:lock v:ext="edit" aspectratio="f"/>
                    <v:textbox inset="0mm,0mm,0mm,0mm" style="mso-fit-shape-to-text:t;">
                      <w:txbxContent>
                        <w:p w14:paraId="668D81B2">
                          <w:pPr>
                            <w:pStyle w:val="5"/>
                          </w:pPr>
                          <w:r>
                            <w:t xml:space="preserve">Página </w:t>
                          </w:r>
                          <w:r>
                            <w:fldChar w:fldCharType="begin"/>
                          </w:r>
                          <w:r>
                            <w:instrText xml:space="preserve"> PAGE  \* MERGEFORMAT </w:instrText>
                          </w:r>
                          <w:r>
                            <w:fldChar w:fldCharType="separate"/>
                          </w:r>
                          <w:r>
                            <w:t>1</w:t>
                          </w:r>
                          <w:r>
                            <w:fldChar w:fldCharType="end"/>
                          </w:r>
                          <w:r>
                            <w:t xml:space="preserve"> de </w:t>
                          </w:r>
                          <w:r>
                            <w:fldChar w:fldCharType="begin"/>
                          </w:r>
                          <w:r>
                            <w:instrText xml:space="preserve"> NUMPAGES  \* MERGEFORMAT </w:instrText>
                          </w:r>
                          <w:r>
                            <w:fldChar w:fldCharType="separate"/>
                          </w:r>
                          <w:r>
                            <w:t>70</w:t>
                          </w:r>
                          <w:r>
                            <w:fldChar w:fldCharType="end"/>
                          </w:r>
                        </w:p>
                      </w:txbxContent>
                    </v:textbox>
                  </v:shape>
                </w:pict>
              </mc:Fallback>
            </mc:AlternateContent>
          </w:r>
          <w:r>
            <w:rPr>
              <w:rFonts w:ascii="Arial" w:hAnsi="Arial" w:eastAsia="Arial" w:cs="Arial"/>
              <w:b/>
              <w:color w:val="000000"/>
              <w:sz w:val="20"/>
              <w:szCs w:val="20"/>
            </w:rPr>
            <w:t xml:space="preserve">Home Page: </w:t>
          </w:r>
          <w:r>
            <w:fldChar w:fldCharType="begin"/>
          </w:r>
          <w:r>
            <w:instrText xml:space="preserve"> HYPERLINK "http://www.rondonopolis.mt.gov.br/" \o "http://www.rondonopolis.mt.gov.br/" </w:instrText>
          </w:r>
          <w:r>
            <w:fldChar w:fldCharType="separate"/>
          </w:r>
          <w:r>
            <w:rPr>
              <w:rStyle w:val="241"/>
              <w:rFonts w:ascii="Times New Roman" w:hAnsi="Times New Roman" w:eastAsia="Times New Roman" w:cs="Times New Roman"/>
              <w:color w:val="0000EE"/>
              <w:sz w:val="20"/>
              <w:szCs w:val="20"/>
              <w:u w:val="single"/>
            </w:rPr>
            <w:t>www.rondonopolis.mt.gov.br</w:t>
          </w:r>
          <w:r>
            <w:rPr>
              <w:rStyle w:val="241"/>
              <w:rFonts w:ascii="Times New Roman" w:hAnsi="Times New Roman" w:eastAsia="Times New Roman" w:cs="Times New Roman"/>
              <w:color w:val="0000EE"/>
              <w:sz w:val="20"/>
              <w:szCs w:val="20"/>
              <w:u w:val="single"/>
            </w:rPr>
            <w:fldChar w:fldCharType="end"/>
          </w:r>
          <w:r>
            <w:rPr>
              <w:rFonts w:ascii="Arial" w:hAnsi="Arial" w:eastAsia="Arial" w:cs="Arial"/>
              <w:b/>
              <w:color w:val="000000"/>
              <w:sz w:val="24"/>
            </w:rPr>
            <w:t>     </w:t>
          </w:r>
        </w:p>
      </w:tc>
    </w:tr>
  </w:tbl>
  <w:p w14:paraId="7E8B98D5">
    <w:pPr>
      <w:pStyle w:val="18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01FF">
    <w:pPr>
      <w:pStyle w:val="180"/>
      <w:ind w:left="1701" w:right="0" w:firstLine="0"/>
    </w:pPr>
    <w:r>
      <w:drawing>
        <wp:inline distT="0" distB="0" distL="0" distR="0">
          <wp:extent cx="3324225" cy="8191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3324223" cy="81914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C924E"/>
    <w:multiLevelType w:val="multilevel"/>
    <w:tmpl w:val="88BC924E"/>
    <w:lvl w:ilvl="0" w:tentative="0">
      <w:start w:val="0"/>
      <w:numFmt w:val="bullet"/>
      <w:lvlText w:val=""/>
      <w:lvlJc w:val="left"/>
      <w:pPr>
        <w:ind w:left="1222" w:hanging="360"/>
      </w:pPr>
      <w:rPr>
        <w:rFonts w:ascii="Symbol" w:hAnsi="Symbol" w:cs="Symbol"/>
      </w:rPr>
    </w:lvl>
    <w:lvl w:ilvl="1" w:tentative="0">
      <w:start w:val="0"/>
      <w:numFmt w:val="bullet"/>
      <w:lvlText w:val="o"/>
      <w:lvlJc w:val="left"/>
      <w:pPr>
        <w:ind w:left="1942" w:hanging="360"/>
      </w:pPr>
      <w:rPr>
        <w:rFonts w:ascii="Courier New" w:hAnsi="Courier New" w:cs="Courier New"/>
      </w:rPr>
    </w:lvl>
    <w:lvl w:ilvl="2" w:tentative="0">
      <w:start w:val="0"/>
      <w:numFmt w:val="bullet"/>
      <w:lvlText w:val=""/>
      <w:lvlJc w:val="left"/>
      <w:pPr>
        <w:ind w:left="2662" w:hanging="360"/>
      </w:pPr>
      <w:rPr>
        <w:rFonts w:ascii="Wingdings" w:hAnsi="Wingdings" w:cs="Wingdings"/>
      </w:rPr>
    </w:lvl>
    <w:lvl w:ilvl="3" w:tentative="0">
      <w:start w:val="0"/>
      <w:numFmt w:val="bullet"/>
      <w:lvlText w:val=""/>
      <w:lvlJc w:val="left"/>
      <w:pPr>
        <w:ind w:left="3382" w:hanging="360"/>
      </w:pPr>
      <w:rPr>
        <w:rFonts w:ascii="Symbol" w:hAnsi="Symbol" w:cs="Symbol"/>
      </w:rPr>
    </w:lvl>
    <w:lvl w:ilvl="4" w:tentative="0">
      <w:start w:val="0"/>
      <w:numFmt w:val="bullet"/>
      <w:lvlText w:val="o"/>
      <w:lvlJc w:val="left"/>
      <w:pPr>
        <w:ind w:left="4101" w:hanging="360"/>
      </w:pPr>
      <w:rPr>
        <w:rFonts w:ascii="Courier New" w:hAnsi="Courier New" w:cs="Courier New"/>
      </w:rPr>
    </w:lvl>
    <w:lvl w:ilvl="5" w:tentative="0">
      <w:start w:val="0"/>
      <w:numFmt w:val="bullet"/>
      <w:lvlText w:val=""/>
      <w:lvlJc w:val="left"/>
      <w:pPr>
        <w:ind w:left="4821" w:hanging="360"/>
      </w:pPr>
      <w:rPr>
        <w:rFonts w:ascii="Wingdings" w:hAnsi="Wingdings" w:cs="Wingdings"/>
      </w:rPr>
    </w:lvl>
    <w:lvl w:ilvl="6" w:tentative="0">
      <w:start w:val="0"/>
      <w:numFmt w:val="bullet"/>
      <w:lvlText w:val=""/>
      <w:lvlJc w:val="left"/>
      <w:pPr>
        <w:ind w:left="5541" w:hanging="360"/>
      </w:pPr>
      <w:rPr>
        <w:rFonts w:ascii="Symbol" w:hAnsi="Symbol" w:cs="Symbol"/>
      </w:rPr>
    </w:lvl>
    <w:lvl w:ilvl="7" w:tentative="0">
      <w:start w:val="0"/>
      <w:numFmt w:val="bullet"/>
      <w:lvlText w:val="o"/>
      <w:lvlJc w:val="left"/>
      <w:pPr>
        <w:ind w:left="6259" w:hanging="360"/>
      </w:pPr>
      <w:rPr>
        <w:rFonts w:ascii="Courier New" w:hAnsi="Courier New" w:cs="Courier New"/>
      </w:rPr>
    </w:lvl>
    <w:lvl w:ilvl="8" w:tentative="0">
      <w:start w:val="0"/>
      <w:numFmt w:val="bullet"/>
      <w:lvlText w:val=""/>
      <w:lvlJc w:val="left"/>
      <w:pPr>
        <w:ind w:left="6978" w:hanging="360"/>
      </w:pPr>
      <w:rPr>
        <w:rFonts w:ascii="Wingdings" w:hAnsi="Wingdings" w:cs="Wingdings"/>
      </w:rPr>
    </w:lvl>
  </w:abstractNum>
  <w:abstractNum w:abstractNumId="1">
    <w:nsid w:val="AB04B72B"/>
    <w:multiLevelType w:val="multilevel"/>
    <w:tmpl w:val="AB04B72B"/>
    <w:lvl w:ilvl="0" w:tentative="0">
      <w:start w:val="0"/>
      <w:numFmt w:val="bullet"/>
      <w:lvlText w:val=""/>
      <w:lvlJc w:val="left"/>
      <w:pPr>
        <w:ind w:left="720" w:hanging="360"/>
      </w:pPr>
      <w:rPr>
        <w:rFonts w:ascii="Symbol" w:hAnsi="Symbol" w:cs="Symbol"/>
      </w:rPr>
    </w:lvl>
    <w:lvl w:ilvl="1" w:tentative="0">
      <w:start w:val="0"/>
      <w:numFmt w:val="bullet"/>
      <w:lvlText w:val="◦"/>
      <w:lvlJc w:val="left"/>
      <w:pPr>
        <w:ind w:left="1080" w:hanging="360"/>
      </w:pPr>
      <w:rPr>
        <w:rFonts w:ascii="OpenSymbol" w:hAnsi="OpenSymbol" w:cs="OpenSymbol"/>
      </w:rPr>
    </w:lvl>
    <w:lvl w:ilvl="2" w:tentative="0">
      <w:start w:val="0"/>
      <w:numFmt w:val="bullet"/>
      <w:lvlText w:val="▪"/>
      <w:lvlJc w:val="left"/>
      <w:pPr>
        <w:ind w:left="1440" w:hanging="360"/>
      </w:pPr>
      <w:rPr>
        <w:rFonts w:ascii="OpenSymbol" w:hAnsi="OpenSymbol" w:cs="OpenSymbol"/>
      </w:rPr>
    </w:lvl>
    <w:lvl w:ilvl="3" w:tentative="0">
      <w:start w:val="0"/>
      <w:numFmt w:val="bullet"/>
      <w:lvlText w:val=""/>
      <w:lvlJc w:val="left"/>
      <w:pPr>
        <w:ind w:left="1800" w:hanging="360"/>
      </w:pPr>
      <w:rPr>
        <w:rFonts w:ascii="Symbol" w:hAnsi="Symbol" w:cs="Symbol"/>
      </w:rPr>
    </w:lvl>
    <w:lvl w:ilvl="4" w:tentative="0">
      <w:start w:val="0"/>
      <w:numFmt w:val="bullet"/>
      <w:lvlText w:val="◦"/>
      <w:lvlJc w:val="left"/>
      <w:pPr>
        <w:ind w:left="2160" w:hanging="360"/>
      </w:pPr>
      <w:rPr>
        <w:rFonts w:ascii="OpenSymbol" w:hAnsi="OpenSymbol" w:cs="OpenSymbol"/>
      </w:rPr>
    </w:lvl>
    <w:lvl w:ilvl="5" w:tentative="0">
      <w:start w:val="0"/>
      <w:numFmt w:val="bullet"/>
      <w:lvlText w:val="▪"/>
      <w:lvlJc w:val="left"/>
      <w:pPr>
        <w:ind w:left="2520" w:hanging="360"/>
      </w:pPr>
      <w:rPr>
        <w:rFonts w:ascii="OpenSymbol" w:hAnsi="OpenSymbol" w:cs="OpenSymbol"/>
      </w:rPr>
    </w:lvl>
    <w:lvl w:ilvl="6" w:tentative="0">
      <w:start w:val="0"/>
      <w:numFmt w:val="bullet"/>
      <w:lvlText w:val=""/>
      <w:lvlJc w:val="left"/>
      <w:pPr>
        <w:ind w:left="2880" w:hanging="360"/>
      </w:pPr>
      <w:rPr>
        <w:rFonts w:ascii="Symbol" w:hAnsi="Symbol" w:cs="Symbol"/>
      </w:rPr>
    </w:lvl>
    <w:lvl w:ilvl="7" w:tentative="0">
      <w:start w:val="0"/>
      <w:numFmt w:val="bullet"/>
      <w:lvlText w:val="◦"/>
      <w:lvlJc w:val="left"/>
      <w:pPr>
        <w:ind w:left="3240" w:hanging="360"/>
      </w:pPr>
      <w:rPr>
        <w:rFonts w:ascii="OpenSymbol" w:hAnsi="OpenSymbol" w:cs="OpenSymbol"/>
      </w:rPr>
    </w:lvl>
    <w:lvl w:ilvl="8" w:tentative="0">
      <w:start w:val="0"/>
      <w:numFmt w:val="bullet"/>
      <w:lvlText w:val="▪"/>
      <w:lvlJc w:val="left"/>
      <w:pPr>
        <w:ind w:left="3600" w:hanging="360"/>
      </w:pPr>
      <w:rPr>
        <w:rFonts w:ascii="OpenSymbol" w:hAnsi="OpenSymbol" w:cs="OpenSymbol"/>
      </w:rPr>
    </w:lvl>
  </w:abstractNum>
  <w:abstractNum w:abstractNumId="2">
    <w:nsid w:val="AD0F1419"/>
    <w:multiLevelType w:val="multilevel"/>
    <w:tmpl w:val="AD0F1419"/>
    <w:lvl w:ilvl="0" w:tentative="0">
      <w:start w:val="0"/>
      <w:numFmt w:val="bullet"/>
      <w:lvlText w:val=""/>
      <w:lvlJc w:val="left"/>
      <w:pPr>
        <w:ind w:left="720" w:hanging="360"/>
      </w:pPr>
      <w:rPr>
        <w:rFonts w:ascii="Wingdings" w:hAnsi="Wingdings" w:cs="Wingdings"/>
      </w:r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3">
    <w:nsid w:val="B31242EF"/>
    <w:multiLevelType w:val="multilevel"/>
    <w:tmpl w:val="B31242E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180"/>
      </w:pPr>
    </w:lvl>
  </w:abstractNum>
  <w:abstractNum w:abstractNumId="4">
    <w:nsid w:val="C5671DB1"/>
    <w:multiLevelType w:val="multilevel"/>
    <w:tmpl w:val="C5671DB1"/>
    <w:lvl w:ilvl="0" w:tentative="0">
      <w:start w:val="0"/>
      <w:numFmt w:val="bullet"/>
      <w:lvlText w:val=""/>
      <w:lvlJc w:val="left"/>
      <w:pPr>
        <w:ind w:left="720" w:hanging="360"/>
      </w:pPr>
      <w:rPr>
        <w:rFonts w:ascii="Symbol" w:hAnsi="Symbol" w:cs="Symbol"/>
      </w:rPr>
    </w:lvl>
    <w:lvl w:ilvl="1" w:tentative="0">
      <w:start w:val="0"/>
      <w:numFmt w:val="bullet"/>
      <w:lvlText w:val="o"/>
      <w:lvlJc w:val="left"/>
      <w:pPr>
        <w:ind w:left="1440" w:hanging="360"/>
      </w:pPr>
      <w:rPr>
        <w:rFonts w:ascii="Courier New" w:hAnsi="Courier New" w:cs="Courier New"/>
      </w:rPr>
    </w:lvl>
    <w:lvl w:ilvl="2" w:tentative="0">
      <w:start w:val="0"/>
      <w:numFmt w:val="bullet"/>
      <w:lvlText w:val=""/>
      <w:lvlJc w:val="left"/>
      <w:pPr>
        <w:ind w:left="2160" w:hanging="360"/>
      </w:pPr>
      <w:rPr>
        <w:rFonts w:ascii="Wingdings" w:hAnsi="Wingdings" w:cs="Wingdings"/>
      </w:rPr>
    </w:lvl>
    <w:lvl w:ilvl="3" w:tentative="0">
      <w:start w:val="0"/>
      <w:numFmt w:val="bullet"/>
      <w:lvlText w:val=""/>
      <w:lvlJc w:val="left"/>
      <w:pPr>
        <w:ind w:left="2880" w:hanging="360"/>
      </w:pPr>
      <w:rPr>
        <w:rFonts w:ascii="Symbol" w:hAnsi="Symbol" w:cs="Symbol"/>
      </w:rPr>
    </w:lvl>
    <w:lvl w:ilvl="4" w:tentative="0">
      <w:start w:val="0"/>
      <w:numFmt w:val="bullet"/>
      <w:lvlText w:val="o"/>
      <w:lvlJc w:val="left"/>
      <w:pPr>
        <w:ind w:left="3600" w:hanging="360"/>
      </w:pPr>
      <w:rPr>
        <w:rFonts w:ascii="Courier New" w:hAnsi="Courier New" w:cs="Courier New"/>
      </w:rPr>
    </w:lvl>
    <w:lvl w:ilvl="5" w:tentative="0">
      <w:start w:val="0"/>
      <w:numFmt w:val="bullet"/>
      <w:lvlText w:val=""/>
      <w:lvlJc w:val="left"/>
      <w:pPr>
        <w:ind w:left="4320" w:hanging="360"/>
      </w:pPr>
      <w:rPr>
        <w:rFonts w:ascii="Wingdings" w:hAnsi="Wingdings" w:cs="Wingdings"/>
      </w:rPr>
    </w:lvl>
    <w:lvl w:ilvl="6" w:tentative="0">
      <w:start w:val="0"/>
      <w:numFmt w:val="bullet"/>
      <w:lvlText w:val=""/>
      <w:lvlJc w:val="left"/>
      <w:pPr>
        <w:ind w:left="5041" w:hanging="360"/>
      </w:pPr>
      <w:rPr>
        <w:rFonts w:ascii="Symbol" w:hAnsi="Symbol" w:cs="Symbol"/>
      </w:rPr>
    </w:lvl>
    <w:lvl w:ilvl="7" w:tentative="0">
      <w:start w:val="0"/>
      <w:numFmt w:val="bullet"/>
      <w:lvlText w:val="o"/>
      <w:lvlJc w:val="left"/>
      <w:pPr>
        <w:ind w:left="5760" w:hanging="360"/>
      </w:pPr>
      <w:rPr>
        <w:rFonts w:ascii="Courier New" w:hAnsi="Courier New" w:cs="Courier New"/>
      </w:rPr>
    </w:lvl>
    <w:lvl w:ilvl="8" w:tentative="0">
      <w:start w:val="0"/>
      <w:numFmt w:val="bullet"/>
      <w:lvlText w:val=""/>
      <w:lvlJc w:val="left"/>
      <w:pPr>
        <w:ind w:left="6480" w:hanging="360"/>
      </w:pPr>
      <w:rPr>
        <w:rFonts w:ascii="Wingdings" w:hAnsi="Wingdings" w:cs="Wingdings"/>
      </w:rPr>
    </w:lvl>
  </w:abstractNum>
  <w:abstractNum w:abstractNumId="5">
    <w:nsid w:val="E3E8DE93"/>
    <w:multiLevelType w:val="multilevel"/>
    <w:tmpl w:val="E3E8DE93"/>
    <w:lvl w:ilvl="0" w:tentative="0">
      <w:start w:val="1"/>
      <w:numFmt w:val="decimal"/>
      <w:lvlText w:val="%1."/>
      <w:lvlJc w:val="left"/>
      <w:pPr>
        <w:ind w:left="450" w:hanging="450"/>
      </w:pPr>
    </w:lvl>
    <w:lvl w:ilvl="1" w:tentative="0">
      <w:start w:val="1"/>
      <w:numFmt w:val="decimal"/>
      <w:lvlText w:val="%1.%2."/>
      <w:lvlJc w:val="left"/>
      <w:pPr>
        <w:ind w:left="450" w:hanging="45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080" w:hanging="108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abstractNum w:abstractNumId="6">
    <w:nsid w:val="0E32718B"/>
    <w:multiLevelType w:val="multilevel"/>
    <w:tmpl w:val="0E32718B"/>
    <w:lvl w:ilvl="0" w:tentative="0">
      <w:start w:val="1"/>
      <w:numFmt w:val="decimal"/>
      <w:lvlText w:val="%1."/>
      <w:lvlJc w:val="left"/>
      <w:pPr>
        <w:ind w:left="360" w:hanging="360"/>
      </w:pPr>
    </w:lvl>
    <w:lvl w:ilvl="1" w:tentative="0">
      <w:start w:val="1"/>
      <w:numFmt w:val="decimal"/>
      <w:lvlText w:val="%1.%2."/>
      <w:lvlJc w:val="left"/>
      <w:pPr>
        <w:ind w:left="1941" w:hanging="525"/>
      </w:pPr>
    </w:lvl>
    <w:lvl w:ilvl="2" w:tentative="0">
      <w:start w:val="1"/>
      <w:numFmt w:val="decimal"/>
      <w:lvlText w:val="%1.%2.%3."/>
      <w:lvlJc w:val="left"/>
      <w:pPr>
        <w:ind w:left="3552" w:hanging="720"/>
      </w:pPr>
    </w:lvl>
    <w:lvl w:ilvl="3" w:tentative="0">
      <w:start w:val="1"/>
      <w:numFmt w:val="decimal"/>
      <w:lvlText w:val="%1.%2.%3.%4."/>
      <w:lvlJc w:val="left"/>
      <w:pPr>
        <w:ind w:left="5329" w:hanging="1080"/>
      </w:pPr>
    </w:lvl>
    <w:lvl w:ilvl="4" w:tentative="0">
      <w:start w:val="1"/>
      <w:numFmt w:val="decimal"/>
      <w:lvlText w:val="%1.%2.%3.%4.%5."/>
      <w:lvlJc w:val="left"/>
      <w:pPr>
        <w:ind w:left="6746" w:hanging="1080"/>
      </w:pPr>
    </w:lvl>
    <w:lvl w:ilvl="5" w:tentative="0">
      <w:start w:val="1"/>
      <w:numFmt w:val="decimal"/>
      <w:lvlText w:val="%1.%2.%3.%4.%5.%6."/>
      <w:lvlJc w:val="left"/>
      <w:pPr>
        <w:ind w:left="8520" w:hanging="1440"/>
      </w:pPr>
    </w:lvl>
    <w:lvl w:ilvl="6" w:tentative="0">
      <w:start w:val="1"/>
      <w:numFmt w:val="decimal"/>
      <w:lvlText w:val="%1.%2.%3.%4.%5.%6.%7."/>
      <w:lvlJc w:val="left"/>
      <w:pPr>
        <w:ind w:left="9938" w:hanging="1440"/>
      </w:pPr>
    </w:lvl>
    <w:lvl w:ilvl="7" w:tentative="0">
      <w:start w:val="1"/>
      <w:numFmt w:val="decimal"/>
      <w:lvlText w:val="%1.%2.%3.%4.%5.%6.%7.%8."/>
      <w:lvlJc w:val="left"/>
      <w:pPr>
        <w:ind w:left="11712" w:hanging="1800"/>
      </w:pPr>
    </w:lvl>
    <w:lvl w:ilvl="8" w:tentative="0">
      <w:start w:val="1"/>
      <w:numFmt w:val="decimal"/>
      <w:lvlText w:val="%1.%2.%3.%4.%5.%6.%7.%8.%9."/>
      <w:lvlJc w:val="left"/>
      <w:pPr>
        <w:ind w:left="13129" w:hanging="1800"/>
      </w:pPr>
    </w:lvl>
  </w:abstractNum>
  <w:abstractNum w:abstractNumId="7">
    <w:nsid w:val="30ACF569"/>
    <w:multiLevelType w:val="multilevel"/>
    <w:tmpl w:val="30ACF569"/>
    <w:lvl w:ilvl="0" w:tentative="0">
      <w:start w:val="0"/>
      <w:numFmt w:val="bullet"/>
      <w:lvlText w:val=""/>
      <w:lvlJc w:val="left"/>
      <w:pPr>
        <w:ind w:left="720" w:hanging="360"/>
      </w:pPr>
      <w:rPr>
        <w:rFonts w:ascii="Symbol" w:hAnsi="Symbol" w:cs="Symbol"/>
      </w:rPr>
    </w:lvl>
    <w:lvl w:ilvl="1" w:tentative="0">
      <w:start w:val="0"/>
      <w:numFmt w:val="bullet"/>
      <w:lvlText w:val="o"/>
      <w:lvlJc w:val="left"/>
      <w:pPr>
        <w:ind w:left="1440" w:hanging="360"/>
      </w:pPr>
      <w:rPr>
        <w:rFonts w:ascii="Courier New" w:hAnsi="Courier New" w:cs="Courier New"/>
      </w:rPr>
    </w:lvl>
    <w:lvl w:ilvl="2" w:tentative="0">
      <w:start w:val="0"/>
      <w:numFmt w:val="bullet"/>
      <w:lvlText w:val=""/>
      <w:lvlJc w:val="left"/>
      <w:pPr>
        <w:ind w:left="2160" w:hanging="360"/>
      </w:pPr>
      <w:rPr>
        <w:rFonts w:ascii="Wingdings" w:hAnsi="Wingdings" w:cs="Wingdings"/>
      </w:rPr>
    </w:lvl>
    <w:lvl w:ilvl="3" w:tentative="0">
      <w:start w:val="0"/>
      <w:numFmt w:val="bullet"/>
      <w:lvlText w:val=""/>
      <w:lvlJc w:val="left"/>
      <w:pPr>
        <w:ind w:left="2880" w:hanging="360"/>
      </w:pPr>
      <w:rPr>
        <w:rFonts w:ascii="Symbol" w:hAnsi="Symbol" w:cs="Symbol"/>
      </w:rPr>
    </w:lvl>
    <w:lvl w:ilvl="4" w:tentative="0">
      <w:start w:val="0"/>
      <w:numFmt w:val="bullet"/>
      <w:lvlText w:val="o"/>
      <w:lvlJc w:val="left"/>
      <w:pPr>
        <w:ind w:left="3600" w:hanging="360"/>
      </w:pPr>
      <w:rPr>
        <w:rFonts w:ascii="Courier New" w:hAnsi="Courier New" w:cs="Courier New"/>
      </w:rPr>
    </w:lvl>
    <w:lvl w:ilvl="5" w:tentative="0">
      <w:start w:val="0"/>
      <w:numFmt w:val="bullet"/>
      <w:lvlText w:val=""/>
      <w:lvlJc w:val="left"/>
      <w:pPr>
        <w:ind w:left="4320" w:hanging="360"/>
      </w:pPr>
      <w:rPr>
        <w:rFonts w:ascii="Wingdings" w:hAnsi="Wingdings" w:cs="Wingdings"/>
      </w:rPr>
    </w:lvl>
    <w:lvl w:ilvl="6" w:tentative="0">
      <w:start w:val="0"/>
      <w:numFmt w:val="bullet"/>
      <w:lvlText w:val=""/>
      <w:lvlJc w:val="left"/>
      <w:pPr>
        <w:ind w:left="5040" w:hanging="360"/>
      </w:pPr>
      <w:rPr>
        <w:rFonts w:ascii="Symbol" w:hAnsi="Symbol" w:cs="Symbol"/>
      </w:rPr>
    </w:lvl>
    <w:lvl w:ilvl="7" w:tentative="0">
      <w:start w:val="0"/>
      <w:numFmt w:val="bullet"/>
      <w:lvlText w:val="o"/>
      <w:lvlJc w:val="left"/>
      <w:pPr>
        <w:ind w:left="5760" w:hanging="360"/>
      </w:pPr>
      <w:rPr>
        <w:rFonts w:ascii="Courier New" w:hAnsi="Courier New" w:cs="Courier New"/>
      </w:rPr>
    </w:lvl>
    <w:lvl w:ilvl="8" w:tentative="0">
      <w:start w:val="0"/>
      <w:numFmt w:val="bullet"/>
      <w:lvlText w:val=""/>
      <w:lvlJc w:val="left"/>
      <w:pPr>
        <w:ind w:left="6480" w:hanging="360"/>
      </w:pPr>
      <w:rPr>
        <w:rFonts w:ascii="Wingdings" w:hAnsi="Wingdings" w:cs="Wingdings"/>
      </w:rPr>
    </w:lvl>
  </w:abstractNum>
  <w:num w:numId="1">
    <w:abstractNumId w:val="6"/>
  </w:num>
  <w:num w:numId="2">
    <w:abstractNumId w:val="1"/>
  </w:num>
  <w:num w:numId="3">
    <w:abstractNumId w:val="3"/>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attachedTemplate r:id="rId1"/>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A0E14"/>
    <w:rsid w:val="15C35F0E"/>
    <w:rsid w:val="5C240960"/>
    <w:rsid w:val="776B3C7C"/>
    <w:rsid w:val="7ADA0E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rPr>
      <w:rFonts w:asciiTheme="minorHAnsi" w:hAnsiTheme="minorHAnsi" w:eastAsiaTheme="minorEastAsia" w:cstheme="minorBidi"/>
      <w:sz w:val="21"/>
      <w:szCs w:val="22"/>
    </w:rPr>
  </w:style>
  <w:style w:type="character" w:default="1" w:styleId="2">
    <w:name w:val="Default Paragraph Font"/>
    <w:qFormat/>
    <w:uiPriority w:val="0"/>
  </w:style>
  <w:style w:type="table" w:default="1" w:styleId="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Cs w:val="24"/>
      <w:lang w:val="en-US" w:eastAsia="zh-CN" w:bidi="ar"/>
    </w:rPr>
  </w:style>
  <w:style w:type="paragraph" w:styleId="5">
    <w:name w:val="footer"/>
    <w:basedOn w:val="1"/>
    <w:semiHidden/>
    <w:unhideWhenUsed/>
    <w:qFormat/>
    <w:uiPriority w:val="99"/>
    <w:pPr>
      <w:tabs>
        <w:tab w:val="center" w:pos="4252"/>
        <w:tab w:val="right" w:pos="8504"/>
      </w:tabs>
    </w:pPr>
  </w:style>
  <w:style w:type="table" w:styleId="6">
    <w:name w:val="Table Grid"/>
    <w:basedOn w:val="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
    <w:name w:val="Table Grid Light"/>
    <w:basedOn w:val="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8">
    <w:name w:val="Plain Table 1"/>
    <w:basedOn w:val="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9">
    <w:name w:val="Plain Table 2"/>
    <w:basedOn w:val="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
    <w:name w:val="Plain Table 3"/>
    <w:basedOn w:val="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11">
    <w:name w:val="Plain Table 4"/>
    <w:basedOn w:val="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12">
    <w:name w:val="Plain Table 5"/>
    <w:basedOn w:val="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13">
    <w:name w:val="Grid Table 1 Light"/>
    <w:basedOn w:val="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14">
    <w:name w:val="Grid Table 1 Light - Accent 1"/>
    <w:basedOn w:val="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
    <w:name w:val="Grid Table 1 Light - Accent 2"/>
    <w:basedOn w:val="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
    <w:name w:val="Grid Table 1 Light - Accent 3"/>
    <w:basedOn w:val="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
    <w:name w:val="Grid Table 1 Light - Accent 4"/>
    <w:basedOn w:val="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
    <w:name w:val="Grid Table 1 Light - Accent 5"/>
    <w:basedOn w:val="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
    <w:name w:val="Grid Table 1 Light - Accent 6"/>
    <w:basedOn w:val="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20">
    <w:name w:val="Grid Table 2"/>
    <w:basedOn w:val="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21">
    <w:name w:val="Grid Table 2 - Accent 1"/>
    <w:basedOn w:val="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22">
    <w:name w:val="Grid Table 2 - Accent 2"/>
    <w:basedOn w:val="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23">
    <w:name w:val="Grid Table 2 - Accent 3"/>
    <w:basedOn w:val="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24">
    <w:name w:val="Grid Table 2 - Accent 4"/>
    <w:basedOn w:val="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25">
    <w:name w:val="Grid Table 2 - Accent 5"/>
    <w:basedOn w:val="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26">
    <w:name w:val="Grid Table 2 - Accent 6"/>
    <w:basedOn w:val="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27">
    <w:name w:val="Grid Table 3"/>
    <w:basedOn w:val="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28">
    <w:name w:val="Grid Table 3 - Accent 1"/>
    <w:basedOn w:val="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29">
    <w:name w:val="Grid Table 3 - Accent 2"/>
    <w:basedOn w:val="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30">
    <w:name w:val="Grid Table 3 - Accent 3"/>
    <w:basedOn w:val="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31">
    <w:name w:val="Grid Table 3 - Accent 4"/>
    <w:basedOn w:val="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32">
    <w:name w:val="Grid Table 3 - Accent 5"/>
    <w:basedOn w:val="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33">
    <w:name w:val="Grid Table 3 - Accent 6"/>
    <w:basedOn w:val="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34">
    <w:name w:val="Grid Table 4"/>
    <w:basedOn w:val="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35">
    <w:name w:val="Grid Table 4 - Accent 1"/>
    <w:basedOn w:val="3"/>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36">
    <w:name w:val="Grid Table 4 - Accent 2"/>
    <w:basedOn w:val="3"/>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37">
    <w:name w:val="Grid Table 4 - Accent 3"/>
    <w:basedOn w:val="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38">
    <w:name w:val="Grid Table 4 - Accent 4"/>
    <w:basedOn w:val="3"/>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39">
    <w:name w:val="Grid Table 4 - Accent 5"/>
    <w:basedOn w:val="3"/>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40">
    <w:name w:val="Grid Table 4 - Accent 6"/>
    <w:basedOn w:val="3"/>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41">
    <w:name w:val="Grid Table 5 Dark"/>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42">
    <w:name w:val="Grid Table 5 Dark- Accent 1"/>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43">
    <w:name w:val="Grid Table 5 Dark - Accent 2"/>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44">
    <w:name w:val="Grid Table 5 Dark - Accent 3"/>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45">
    <w:name w:val="Grid Table 5 Dark- Accent 4"/>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46">
    <w:name w:val="Grid Table 5 Dark - Accent 5"/>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47">
    <w:name w:val="Grid Table 5 Dark - Accent 6"/>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48">
    <w:name w:val="Grid Table 6 Colorful"/>
    <w:basedOn w:val="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49">
    <w:name w:val="Grid Table 6 Colorful - Accent 1"/>
    <w:basedOn w:val="3"/>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50">
    <w:name w:val="Grid Table 6 Colorful - Accent 2"/>
    <w:basedOn w:val="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51">
    <w:name w:val="Grid Table 6 Colorful - Accent 3"/>
    <w:basedOn w:val="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52">
    <w:name w:val="Grid Table 6 Colorful - Accent 4"/>
    <w:basedOn w:val="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53">
    <w:name w:val="Grid Table 6 Colorful - Accent 5"/>
    <w:basedOn w:val="3"/>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54">
    <w:name w:val="Grid Table 6 Colorful - Accent 6"/>
    <w:basedOn w:val="3"/>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55">
    <w:name w:val="Grid Table 7 Colorful"/>
    <w:basedOn w:val="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6">
    <w:name w:val="Grid Table 7 Colorful - Accent 1"/>
    <w:basedOn w:val="3"/>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57">
    <w:name w:val="Grid Table 7 Colorful - Accent 2"/>
    <w:basedOn w:val="3"/>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58">
    <w:name w:val="Grid Table 7 Colorful - Accent 3"/>
    <w:basedOn w:val="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59">
    <w:name w:val="Grid Table 7 Colorful - Accent 4"/>
    <w:basedOn w:val="3"/>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60">
    <w:name w:val="Grid Table 7 Colorful - Accent 5"/>
    <w:basedOn w:val="3"/>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61">
    <w:name w:val="Grid Table 7 Colorful - Accent 6"/>
    <w:basedOn w:val="3"/>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62">
    <w:name w:val="List Table 1 Light"/>
    <w:basedOn w:val="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3">
    <w:name w:val="List Table 1 Light - Accent 1"/>
    <w:basedOn w:val="3"/>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64">
    <w:name w:val="List Table 1 Light - Accent 2"/>
    <w:basedOn w:val="3"/>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65">
    <w:name w:val="List Table 1 Light - Accent 3"/>
    <w:basedOn w:val="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66">
    <w:name w:val="List Table 1 Light - Accent 4"/>
    <w:basedOn w:val="3"/>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67">
    <w:name w:val="List Table 1 Light - Accent 5"/>
    <w:basedOn w:val="3"/>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68">
    <w:name w:val="List Table 1 Light - Accent 6"/>
    <w:basedOn w:val="3"/>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69">
    <w:name w:val="List Table 2"/>
    <w:basedOn w:val="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70">
    <w:name w:val="List Table 2 - Accent 1"/>
    <w:basedOn w:val="3"/>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71">
    <w:name w:val="List Table 2 - Accent 2"/>
    <w:basedOn w:val="3"/>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72">
    <w:name w:val="List Table 2 - Accent 3"/>
    <w:basedOn w:val="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73">
    <w:name w:val="List Table 2 - Accent 4"/>
    <w:basedOn w:val="3"/>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74">
    <w:name w:val="List Table 2 - Accent 5"/>
    <w:basedOn w:val="3"/>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75">
    <w:name w:val="List Table 2 - Accent 6"/>
    <w:basedOn w:val="3"/>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76">
    <w:name w:val="List Table 3"/>
    <w:basedOn w:val="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7">
    <w:name w:val="List Table 3 - Accent 1"/>
    <w:basedOn w:val="3"/>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78">
    <w:name w:val="List Table 3 - Accent 2"/>
    <w:basedOn w:val="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79">
    <w:name w:val="List Table 3 - Accent 3"/>
    <w:basedOn w:val="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80">
    <w:name w:val="List Table 3 - Accent 4"/>
    <w:basedOn w:val="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81">
    <w:name w:val="List Table 3 - Accent 5"/>
    <w:basedOn w:val="3"/>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82">
    <w:name w:val="List Table 3 - Accent 6"/>
    <w:basedOn w:val="3"/>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83">
    <w:name w:val="List Table 4"/>
    <w:basedOn w:val="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4">
    <w:name w:val="List Table 4 - Accent 1"/>
    <w:basedOn w:val="3"/>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85">
    <w:name w:val="List Table 4 - Accent 2"/>
    <w:basedOn w:val="3"/>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86">
    <w:name w:val="List Table 4 - Accent 3"/>
    <w:basedOn w:val="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87">
    <w:name w:val="List Table 4 - Accent 4"/>
    <w:basedOn w:val="3"/>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88">
    <w:name w:val="List Table 4 - Accent 5"/>
    <w:basedOn w:val="3"/>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89">
    <w:name w:val="List Table 4 - Accent 6"/>
    <w:basedOn w:val="3"/>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90">
    <w:name w:val="List Table 5 Dark"/>
    <w:basedOn w:val="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91">
    <w:name w:val="List Table 5 Dark - Accent 1"/>
    <w:basedOn w:val="3"/>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92">
    <w:name w:val="List Table 5 Dark - Accent 2"/>
    <w:basedOn w:val="3"/>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93">
    <w:name w:val="List Table 5 Dark - Accent 3"/>
    <w:basedOn w:val="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94">
    <w:name w:val="List Table 5 Dark - Accent 4"/>
    <w:basedOn w:val="3"/>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95">
    <w:name w:val="List Table 5 Dark - Accent 5"/>
    <w:basedOn w:val="3"/>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96">
    <w:name w:val="List Table 5 Dark - Accent 6"/>
    <w:basedOn w:val="3"/>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97">
    <w:name w:val="List Table 6 Colorful"/>
    <w:basedOn w:val="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98">
    <w:name w:val="List Table 6 Colorful - Accent 1"/>
    <w:basedOn w:val="3"/>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99">
    <w:name w:val="List Table 6 Colorful - Accent 2"/>
    <w:basedOn w:val="3"/>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0">
    <w:name w:val="List Table 6 Colorful - Accent 3"/>
    <w:basedOn w:val="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01">
    <w:name w:val="List Table 6 Colorful - Accent 4"/>
    <w:basedOn w:val="3"/>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2">
    <w:name w:val="List Table 6 Colorful - Accent 5"/>
    <w:basedOn w:val="3"/>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03">
    <w:name w:val="List Table 6 Colorful - Accent 6"/>
    <w:basedOn w:val="3"/>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04">
    <w:name w:val="List Table 7 Colorful"/>
    <w:basedOn w:val="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5">
    <w:name w:val="List Table 7 Colorful - Accent 1"/>
    <w:basedOn w:val="3"/>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06">
    <w:name w:val="List Table 7 Colorful - Accent 2"/>
    <w:basedOn w:val="3"/>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7">
    <w:name w:val="List Table 7 Colorful - Accent 3"/>
    <w:basedOn w:val="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08">
    <w:name w:val="List Table 7 Colorful - Accent 4"/>
    <w:basedOn w:val="3"/>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9">
    <w:name w:val="List Table 7 Colorful - Accent 5"/>
    <w:basedOn w:val="3"/>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10">
    <w:name w:val="List Table 7 Colorful - Accent 6"/>
    <w:basedOn w:val="3"/>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11">
    <w:name w:val="Lined - Accent"/>
    <w:basedOn w:val="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12">
    <w:name w:val="Lined - Accent 1"/>
    <w:basedOn w:val="3"/>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13">
    <w:name w:val="Lined - Accent 2"/>
    <w:basedOn w:val="3"/>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14">
    <w:name w:val="Lined - Accent 3"/>
    <w:basedOn w:val="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15">
    <w:name w:val="Lined - Accent 4"/>
    <w:basedOn w:val="3"/>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16">
    <w:name w:val="Lined - Accent 5"/>
    <w:basedOn w:val="3"/>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17">
    <w:name w:val="Lined - Accent 6"/>
    <w:basedOn w:val="3"/>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18">
    <w:name w:val="Bordered &amp; Lined - Accent"/>
    <w:basedOn w:val="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19">
    <w:name w:val="Bordered &amp; Lined - Accent 1"/>
    <w:basedOn w:val="3"/>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20">
    <w:name w:val="Bordered &amp; Lined - Accent 2"/>
    <w:basedOn w:val="3"/>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21">
    <w:name w:val="Bordered &amp; Lined - Accent 3"/>
    <w:basedOn w:val="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22">
    <w:name w:val="Bordered &amp; Lined - Accent 4"/>
    <w:basedOn w:val="3"/>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23">
    <w:name w:val="Bordered &amp; Lined - Accent 5"/>
    <w:basedOn w:val="3"/>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24">
    <w:name w:val="Bordered &amp; Lined - Accent 6"/>
    <w:basedOn w:val="3"/>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25">
    <w:name w:val="Bordered"/>
    <w:basedOn w:val="3"/>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26">
    <w:name w:val="Bordered - Accent 1"/>
    <w:basedOn w:val="3"/>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27">
    <w:name w:val="Bordered - Accent 2"/>
    <w:basedOn w:val="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28">
    <w:name w:val="Bordered - Accent 3"/>
    <w:basedOn w:val="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29">
    <w:name w:val="Bordered - Accent 4"/>
    <w:basedOn w:val="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30">
    <w:name w:val="Bordered - Accent 5"/>
    <w:basedOn w:val="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31">
    <w:name w:val="Bordered - Accent 6"/>
    <w:basedOn w:val="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paragraph" w:customStyle="1" w:styleId="132">
    <w:name w:val="DStyle_paragraph"/>
    <w:qFormat/>
    <w:uiPriority w:val="0"/>
    <w:rPr>
      <w:rFonts w:asciiTheme="minorHAnsi" w:hAnsiTheme="minorHAnsi" w:eastAsiaTheme="minorEastAsia" w:cstheme="minorBidi"/>
      <w:sz w:val="20"/>
      <w:szCs w:val="22"/>
    </w:rPr>
  </w:style>
  <w:style w:type="character" w:customStyle="1" w:styleId="133">
    <w:name w:val="DStyle_text"/>
    <w:uiPriority w:val="0"/>
  </w:style>
  <w:style w:type="paragraph" w:customStyle="1" w:styleId="134">
    <w:name w:val="DStyle_paragraph1"/>
    <w:basedOn w:val="132"/>
    <w:qFormat/>
    <w:uiPriority w:val="0"/>
    <w:rPr>
      <w:sz w:val="20"/>
    </w:rPr>
  </w:style>
  <w:style w:type="character" w:customStyle="1" w:styleId="135">
    <w:name w:val="DStyle_text1"/>
    <w:qFormat/>
    <w:uiPriority w:val="0"/>
  </w:style>
  <w:style w:type="paragraph" w:customStyle="1" w:styleId="136">
    <w:name w:val="DStyle_paragraph2"/>
    <w:basedOn w:val="134"/>
    <w:qFormat/>
    <w:uiPriority w:val="0"/>
    <w:rPr>
      <w:sz w:val="20"/>
    </w:rPr>
  </w:style>
  <w:style w:type="character" w:customStyle="1" w:styleId="137">
    <w:name w:val="DStyle_text2"/>
    <w:qFormat/>
    <w:uiPriority w:val="0"/>
  </w:style>
  <w:style w:type="paragraph" w:customStyle="1" w:styleId="138">
    <w:name w:val="DStyle_paragraph3"/>
    <w:basedOn w:val="136"/>
    <w:qFormat/>
    <w:uiPriority w:val="0"/>
    <w:rPr>
      <w:sz w:val="20"/>
    </w:rPr>
  </w:style>
  <w:style w:type="character" w:customStyle="1" w:styleId="139">
    <w:name w:val="DStyle_text3"/>
    <w:qFormat/>
    <w:uiPriority w:val="0"/>
  </w:style>
  <w:style w:type="paragraph" w:customStyle="1" w:styleId="140">
    <w:name w:val="DStyle_paragraph4"/>
    <w:basedOn w:val="138"/>
    <w:qFormat/>
    <w:uiPriority w:val="0"/>
    <w:rPr>
      <w:sz w:val="20"/>
    </w:rPr>
  </w:style>
  <w:style w:type="character" w:customStyle="1" w:styleId="141">
    <w:name w:val="DStyle_text4"/>
    <w:qFormat/>
    <w:uiPriority w:val="0"/>
  </w:style>
  <w:style w:type="paragraph" w:customStyle="1" w:styleId="142">
    <w:name w:val="DStyle_paragraph5"/>
    <w:basedOn w:val="140"/>
    <w:qFormat/>
    <w:uiPriority w:val="0"/>
    <w:rPr>
      <w:rFonts w:ascii="Liberation Serif" w:hAnsi="Liberation Serif" w:cs="Liberation Serif"/>
      <w:color w:val="000000"/>
      <w:sz w:val="20"/>
      <w:szCs w:val="24"/>
      <w:lang w:val="pt-BR" w:bidi="hi-IN"/>
    </w:rPr>
  </w:style>
  <w:style w:type="paragraph" w:customStyle="1" w:styleId="143">
    <w:name w:val="Standard"/>
    <w:basedOn w:val="144"/>
    <w:qFormat/>
    <w:uiPriority w:val="0"/>
    <w:rPr>
      <w:rFonts w:ascii="Times New Roman" w:hAnsi="Times New Roman" w:cs="Times New Roman"/>
      <w:color w:val="000000"/>
      <w:sz w:val="20"/>
      <w:szCs w:val="20"/>
      <w:lang w:bidi="ar-SA"/>
    </w:rPr>
  </w:style>
  <w:style w:type="paragraph" w:customStyle="1" w:styleId="144">
    <w:name w:val="DStyle_paragraph6"/>
    <w:basedOn w:val="142"/>
    <w:qFormat/>
    <w:uiPriority w:val="0"/>
    <w:pPr>
      <w:pBdr>
        <w:top w:val="none" w:color="000000" w:sz="0" w:space="0"/>
        <w:left w:val="none" w:color="000000" w:sz="0" w:space="0"/>
        <w:bottom w:val="none" w:color="000000" w:sz="0" w:space="0"/>
        <w:right w:val="none" w:color="000000" w:sz="0" w:space="0"/>
      </w:pBdr>
      <w:spacing w:line="240" w:lineRule="auto"/>
      <w:jc w:val="left"/>
    </w:pPr>
    <w:rPr>
      <w:rFonts w:ascii="Liberation Serif" w:hAnsi="Liberation Serif" w:cs="Liberation Serif"/>
      <w:color w:val="000000"/>
      <w:spacing w:val="0"/>
      <w:sz w:val="24"/>
      <w:szCs w:val="24"/>
      <w:u w:val="none"/>
      <w:lang w:val="pt-BR" w:bidi="hi-IN"/>
    </w:rPr>
  </w:style>
  <w:style w:type="paragraph" w:customStyle="1" w:styleId="145">
    <w:name w:val="Heading"/>
    <w:basedOn w:val="143"/>
    <w:qFormat/>
    <w:uiPriority w:val="0"/>
    <w:pPr>
      <w:spacing w:before="240" w:after="120"/>
    </w:pPr>
    <w:rPr>
      <w:rFonts w:ascii="Liberation Sans" w:hAnsi="Liberation Sans" w:cs="Liberation Sans"/>
      <w:sz w:val="28"/>
      <w:szCs w:val="28"/>
    </w:rPr>
  </w:style>
  <w:style w:type="paragraph" w:customStyle="1" w:styleId="146">
    <w:name w:val="Text body"/>
    <w:basedOn w:val="143"/>
    <w:qFormat/>
    <w:uiPriority w:val="0"/>
    <w:pPr>
      <w:jc w:val="both"/>
    </w:pPr>
    <w:rPr>
      <w:rFonts w:ascii="Arial" w:hAnsi="Arial" w:cs="Arial"/>
      <w:b/>
      <w:sz w:val="24"/>
    </w:rPr>
  </w:style>
  <w:style w:type="paragraph" w:customStyle="1" w:styleId="147">
    <w:name w:val="Heading 5"/>
    <w:basedOn w:val="1"/>
    <w:qFormat/>
    <w:uiPriority w:val="0"/>
    <w:pPr>
      <w:spacing w:before="80" w:after="40"/>
    </w:pPr>
    <w:rPr>
      <w:rFonts w:ascii="Arial" w:hAnsi="Arial" w:cs="Arial"/>
      <w:color w:val="0F4761"/>
    </w:rPr>
  </w:style>
  <w:style w:type="paragraph" w:customStyle="1" w:styleId="148">
    <w:name w:val="Heading 8"/>
    <w:basedOn w:val="1"/>
    <w:qFormat/>
    <w:uiPriority w:val="0"/>
    <w:pPr>
      <w:spacing w:before="0" w:after="0"/>
    </w:pPr>
    <w:rPr>
      <w:rFonts w:ascii="Arial" w:hAnsi="Arial" w:cs="Arial"/>
      <w:i/>
      <w:color w:val="272727"/>
    </w:rPr>
  </w:style>
  <w:style w:type="paragraph" w:customStyle="1" w:styleId="149">
    <w:name w:val="Heading 9"/>
    <w:basedOn w:val="1"/>
    <w:qFormat/>
    <w:uiPriority w:val="0"/>
    <w:pPr>
      <w:spacing w:before="0" w:after="0"/>
    </w:pPr>
    <w:rPr>
      <w:rFonts w:ascii="Arial" w:hAnsi="Arial" w:cs="Arial"/>
      <w:i/>
      <w:color w:val="272727"/>
    </w:rPr>
  </w:style>
  <w:style w:type="paragraph" w:customStyle="1" w:styleId="150">
    <w:name w:val="Title"/>
    <w:basedOn w:val="1"/>
    <w:qFormat/>
    <w:uiPriority w:val="0"/>
    <w:pPr>
      <w:spacing w:before="0" w:after="80" w:line="240" w:lineRule="auto"/>
    </w:pPr>
    <w:rPr>
      <w:rFonts w:ascii="Arial" w:hAnsi="Arial" w:cs="Arial"/>
      <w:spacing w:val="-10"/>
      <w:sz w:val="56"/>
      <w:szCs w:val="56"/>
    </w:rPr>
  </w:style>
  <w:style w:type="paragraph" w:customStyle="1" w:styleId="151">
    <w:name w:val="Subtitle"/>
    <w:basedOn w:val="1"/>
    <w:qFormat/>
    <w:uiPriority w:val="0"/>
    <w:rPr>
      <w:color w:val="595959"/>
      <w:spacing w:val="14"/>
      <w:sz w:val="28"/>
      <w:szCs w:val="28"/>
    </w:rPr>
  </w:style>
  <w:style w:type="paragraph" w:customStyle="1" w:styleId="152">
    <w:name w:val="Quote"/>
    <w:basedOn w:val="1"/>
    <w:qFormat/>
    <w:uiPriority w:val="0"/>
    <w:pPr>
      <w:spacing w:before="160" w:after="0"/>
      <w:jc w:val="center"/>
    </w:pPr>
    <w:rPr>
      <w:i/>
      <w:color w:val="404040"/>
    </w:rPr>
  </w:style>
  <w:style w:type="paragraph" w:customStyle="1" w:styleId="153">
    <w:name w:val="List Paragraph"/>
    <w:basedOn w:val="1"/>
    <w:qFormat/>
    <w:uiPriority w:val="0"/>
    <w:pPr>
      <w:spacing w:before="0" w:after="0"/>
      <w:ind w:left="720" w:right="0" w:firstLine="0"/>
    </w:pPr>
  </w:style>
  <w:style w:type="paragraph" w:customStyle="1" w:styleId="154">
    <w:name w:val="Intense Quote"/>
    <w:basedOn w:val="1"/>
    <w:qFormat/>
    <w:uiPriority w:val="0"/>
    <w:pPr>
      <w:pBdr>
        <w:top w:val="single" w:color="0F4761" w:sz="4" w:space="0"/>
        <w:left w:val="none" w:color="000000" w:sz="0" w:space="0"/>
        <w:bottom w:val="single" w:color="0F4761" w:sz="4" w:space="0"/>
        <w:right w:val="none" w:color="000000" w:sz="0" w:space="0"/>
      </w:pBdr>
      <w:spacing w:before="360" w:after="360"/>
      <w:ind w:left="864" w:right="864" w:firstLine="0"/>
      <w:jc w:val="center"/>
    </w:pPr>
    <w:rPr>
      <w:i/>
      <w:color w:val="0F4761"/>
    </w:rPr>
  </w:style>
  <w:style w:type="paragraph" w:customStyle="1" w:styleId="155">
    <w:name w:val="No Spacing"/>
    <w:basedOn w:val="1"/>
    <w:qFormat/>
    <w:uiPriority w:val="0"/>
    <w:pPr>
      <w:spacing w:before="0" w:after="0" w:line="240" w:lineRule="auto"/>
    </w:pPr>
  </w:style>
  <w:style w:type="paragraph" w:customStyle="1" w:styleId="156">
    <w:name w:val="footnote text"/>
    <w:basedOn w:val="1"/>
    <w:qFormat/>
    <w:uiPriority w:val="0"/>
    <w:pPr>
      <w:spacing w:before="0" w:after="0" w:line="240" w:lineRule="auto"/>
    </w:pPr>
    <w:rPr>
      <w:sz w:val="20"/>
      <w:szCs w:val="20"/>
    </w:rPr>
  </w:style>
  <w:style w:type="paragraph" w:customStyle="1" w:styleId="157">
    <w:name w:val="endnote text"/>
    <w:basedOn w:val="1"/>
    <w:qFormat/>
    <w:uiPriority w:val="0"/>
    <w:pPr>
      <w:spacing w:before="0" w:after="0" w:line="240" w:lineRule="auto"/>
    </w:pPr>
    <w:rPr>
      <w:sz w:val="20"/>
      <w:szCs w:val="20"/>
    </w:rPr>
  </w:style>
  <w:style w:type="paragraph" w:customStyle="1" w:styleId="158">
    <w:name w:val="toc 1"/>
    <w:basedOn w:val="1"/>
    <w:qFormat/>
    <w:uiPriority w:val="0"/>
    <w:pPr>
      <w:spacing w:before="0" w:after="100"/>
    </w:pPr>
  </w:style>
  <w:style w:type="paragraph" w:customStyle="1" w:styleId="159">
    <w:name w:val="toc 2"/>
    <w:basedOn w:val="1"/>
    <w:qFormat/>
    <w:uiPriority w:val="0"/>
    <w:pPr>
      <w:spacing w:before="0" w:after="100"/>
      <w:ind w:left="220" w:right="0" w:firstLine="0"/>
    </w:pPr>
  </w:style>
  <w:style w:type="paragraph" w:customStyle="1" w:styleId="160">
    <w:name w:val="toc 3"/>
    <w:basedOn w:val="1"/>
    <w:qFormat/>
    <w:uiPriority w:val="0"/>
    <w:pPr>
      <w:spacing w:before="0" w:after="100"/>
      <w:ind w:left="440" w:right="0" w:firstLine="0"/>
    </w:pPr>
  </w:style>
  <w:style w:type="paragraph" w:customStyle="1" w:styleId="161">
    <w:name w:val="toc 4"/>
    <w:basedOn w:val="1"/>
    <w:qFormat/>
    <w:uiPriority w:val="0"/>
    <w:pPr>
      <w:spacing w:before="0" w:after="100"/>
      <w:ind w:left="660" w:right="0" w:firstLine="0"/>
    </w:pPr>
  </w:style>
  <w:style w:type="paragraph" w:customStyle="1" w:styleId="162">
    <w:name w:val="toc 5"/>
    <w:basedOn w:val="1"/>
    <w:qFormat/>
    <w:uiPriority w:val="0"/>
    <w:pPr>
      <w:spacing w:before="0" w:after="100"/>
      <w:ind w:left="880" w:right="0" w:firstLine="0"/>
    </w:pPr>
  </w:style>
  <w:style w:type="paragraph" w:customStyle="1" w:styleId="163">
    <w:name w:val="toc 6"/>
    <w:basedOn w:val="1"/>
    <w:qFormat/>
    <w:uiPriority w:val="0"/>
    <w:pPr>
      <w:spacing w:before="0" w:after="100"/>
      <w:ind w:left="1100" w:right="0" w:firstLine="0"/>
    </w:pPr>
  </w:style>
  <w:style w:type="paragraph" w:customStyle="1" w:styleId="164">
    <w:name w:val="toc 7"/>
    <w:basedOn w:val="1"/>
    <w:qFormat/>
    <w:uiPriority w:val="0"/>
    <w:pPr>
      <w:spacing w:before="0" w:after="100"/>
      <w:ind w:left="1320" w:right="0" w:firstLine="0"/>
    </w:pPr>
  </w:style>
  <w:style w:type="paragraph" w:customStyle="1" w:styleId="165">
    <w:name w:val="toc 8"/>
    <w:basedOn w:val="1"/>
    <w:qFormat/>
    <w:uiPriority w:val="0"/>
    <w:pPr>
      <w:spacing w:before="0" w:after="100"/>
      <w:ind w:left="1540" w:right="0" w:firstLine="0"/>
    </w:pPr>
  </w:style>
  <w:style w:type="paragraph" w:customStyle="1" w:styleId="166">
    <w:name w:val="toc 9"/>
    <w:basedOn w:val="1"/>
    <w:qFormat/>
    <w:uiPriority w:val="0"/>
    <w:pPr>
      <w:spacing w:before="0" w:after="100"/>
      <w:ind w:left="1760" w:right="0" w:firstLine="0"/>
    </w:pPr>
  </w:style>
  <w:style w:type="paragraph" w:customStyle="1" w:styleId="167">
    <w:name w:val="TOC Heading"/>
    <w:basedOn w:val="142"/>
    <w:qFormat/>
    <w:uiPriority w:val="0"/>
  </w:style>
  <w:style w:type="paragraph" w:customStyle="1" w:styleId="168">
    <w:name w:val="table of figures"/>
    <w:basedOn w:val="1"/>
    <w:qFormat/>
    <w:uiPriority w:val="0"/>
    <w:pPr>
      <w:spacing w:before="0" w:after="0"/>
    </w:pPr>
  </w:style>
  <w:style w:type="paragraph" w:customStyle="1" w:styleId="169">
    <w:name w:val="Heading 1"/>
    <w:basedOn w:val="143"/>
    <w:qFormat/>
    <w:uiPriority w:val="0"/>
    <w:pPr>
      <w:tabs>
        <w:tab w:val="left" w:pos="566"/>
      </w:tabs>
      <w:jc w:val="center"/>
    </w:pPr>
    <w:rPr>
      <w:b/>
      <w:sz w:val="24"/>
    </w:rPr>
  </w:style>
  <w:style w:type="paragraph" w:customStyle="1" w:styleId="170">
    <w:name w:val="Heading 2"/>
    <w:basedOn w:val="143"/>
    <w:qFormat/>
    <w:uiPriority w:val="0"/>
    <w:pPr>
      <w:tabs>
        <w:tab w:val="left" w:pos="566"/>
      </w:tabs>
      <w:spacing w:before="240" w:after="60"/>
    </w:pPr>
    <w:rPr>
      <w:rFonts w:ascii="Arial" w:hAnsi="Arial" w:cs="Arial"/>
      <w:b/>
      <w:i/>
      <w:sz w:val="28"/>
      <w:szCs w:val="28"/>
    </w:rPr>
  </w:style>
  <w:style w:type="paragraph" w:customStyle="1" w:styleId="171">
    <w:name w:val="Heading 3"/>
    <w:basedOn w:val="143"/>
    <w:qFormat/>
    <w:uiPriority w:val="0"/>
    <w:pPr>
      <w:tabs>
        <w:tab w:val="left" w:pos="566"/>
      </w:tabs>
      <w:spacing w:before="240" w:after="60"/>
    </w:pPr>
    <w:rPr>
      <w:rFonts w:ascii="Arial" w:hAnsi="Arial" w:cs="Arial"/>
      <w:b/>
      <w:sz w:val="26"/>
      <w:szCs w:val="26"/>
    </w:rPr>
  </w:style>
  <w:style w:type="paragraph" w:customStyle="1" w:styleId="172">
    <w:name w:val="Heading 4"/>
    <w:basedOn w:val="143"/>
    <w:qFormat/>
    <w:uiPriority w:val="0"/>
    <w:pPr>
      <w:tabs>
        <w:tab w:val="left" w:pos="566"/>
      </w:tabs>
      <w:spacing w:before="240" w:after="60"/>
    </w:pPr>
    <w:rPr>
      <w:b/>
      <w:sz w:val="28"/>
      <w:szCs w:val="28"/>
    </w:rPr>
  </w:style>
  <w:style w:type="paragraph" w:customStyle="1" w:styleId="173">
    <w:name w:val="Heading 6"/>
    <w:basedOn w:val="143"/>
    <w:qFormat/>
    <w:uiPriority w:val="0"/>
    <w:pPr>
      <w:tabs>
        <w:tab w:val="left" w:pos="566"/>
      </w:tabs>
      <w:jc w:val="center"/>
    </w:pPr>
    <w:rPr>
      <w:rFonts w:ascii="Arial" w:hAnsi="Arial" w:cs="Arial"/>
      <w:sz w:val="24"/>
    </w:rPr>
  </w:style>
  <w:style w:type="paragraph" w:customStyle="1" w:styleId="174">
    <w:name w:val="Heading 7"/>
    <w:basedOn w:val="143"/>
    <w:qFormat/>
    <w:uiPriority w:val="0"/>
    <w:pPr>
      <w:tabs>
        <w:tab w:val="left" w:pos="566"/>
      </w:tabs>
    </w:pPr>
    <w:rPr>
      <w:rFonts w:ascii="Arial" w:hAnsi="Arial" w:cs="Arial"/>
      <w:sz w:val="24"/>
    </w:rPr>
  </w:style>
  <w:style w:type="paragraph" w:customStyle="1" w:styleId="175">
    <w:name w:val="List"/>
    <w:basedOn w:val="146"/>
    <w:next w:val="1"/>
    <w:qFormat/>
    <w:uiPriority w:val="0"/>
  </w:style>
  <w:style w:type="paragraph" w:customStyle="1" w:styleId="176">
    <w:name w:val="Caption"/>
    <w:basedOn w:val="143"/>
    <w:next w:val="1"/>
    <w:qFormat/>
    <w:uiPriority w:val="0"/>
    <w:pPr>
      <w:spacing w:before="120" w:after="120"/>
    </w:pPr>
    <w:rPr>
      <w:i/>
      <w:sz w:val="24"/>
      <w:szCs w:val="24"/>
    </w:rPr>
  </w:style>
  <w:style w:type="paragraph" w:customStyle="1" w:styleId="177">
    <w:name w:val="Index"/>
    <w:basedOn w:val="143"/>
    <w:next w:val="1"/>
    <w:qFormat/>
    <w:uiPriority w:val="0"/>
  </w:style>
  <w:style w:type="paragraph" w:customStyle="1" w:styleId="178">
    <w:name w:val="Título3"/>
    <w:basedOn w:val="143"/>
    <w:next w:val="1"/>
    <w:qFormat/>
    <w:uiPriority w:val="0"/>
    <w:pPr>
      <w:spacing w:before="240" w:after="120"/>
    </w:pPr>
    <w:rPr>
      <w:rFonts w:ascii="Liberation Sans" w:hAnsi="Liberation Sans" w:cs="Liberation Sans"/>
      <w:sz w:val="28"/>
      <w:szCs w:val="28"/>
    </w:rPr>
  </w:style>
  <w:style w:type="paragraph" w:customStyle="1" w:styleId="179">
    <w:name w:val="Header and Footer"/>
    <w:basedOn w:val="143"/>
    <w:next w:val="1"/>
    <w:qFormat/>
    <w:uiPriority w:val="0"/>
    <w:pPr>
      <w:tabs>
        <w:tab w:val="center" w:pos="4815"/>
        <w:tab w:val="right" w:pos="9637"/>
      </w:tabs>
    </w:pPr>
  </w:style>
  <w:style w:type="paragraph" w:customStyle="1" w:styleId="180">
    <w:name w:val="Header"/>
    <w:basedOn w:val="143"/>
    <w:next w:val="1"/>
    <w:qFormat/>
    <w:uiPriority w:val="0"/>
    <w:pPr>
      <w:tabs>
        <w:tab w:val="center" w:pos="4250"/>
        <w:tab w:val="right" w:pos="8503"/>
      </w:tabs>
    </w:pPr>
  </w:style>
  <w:style w:type="paragraph" w:customStyle="1" w:styleId="181">
    <w:name w:val="Footer"/>
    <w:basedOn w:val="143"/>
    <w:next w:val="1"/>
    <w:qFormat/>
    <w:uiPriority w:val="0"/>
    <w:pPr>
      <w:tabs>
        <w:tab w:val="center" w:pos="4250"/>
        <w:tab w:val="right" w:pos="8503"/>
      </w:tabs>
    </w:pPr>
  </w:style>
  <w:style w:type="paragraph" w:customStyle="1" w:styleId="182">
    <w:name w:val="Text body indent"/>
    <w:basedOn w:val="143"/>
    <w:next w:val="1"/>
    <w:qFormat/>
    <w:uiPriority w:val="0"/>
    <w:pPr>
      <w:ind w:left="0" w:right="0" w:firstLine="1409"/>
      <w:jc w:val="both"/>
    </w:pPr>
    <w:rPr>
      <w:sz w:val="24"/>
    </w:rPr>
  </w:style>
  <w:style w:type="paragraph" w:customStyle="1" w:styleId="183">
    <w:name w:val="Título12"/>
    <w:basedOn w:val="143"/>
    <w:next w:val="1"/>
    <w:qFormat/>
    <w:uiPriority w:val="0"/>
    <w:pPr>
      <w:spacing w:before="240" w:after="120"/>
    </w:pPr>
    <w:rPr>
      <w:rFonts w:ascii="Liberation Sans" w:hAnsi="Liberation Sans" w:cs="Liberation Sans"/>
      <w:sz w:val="28"/>
      <w:szCs w:val="28"/>
    </w:rPr>
  </w:style>
  <w:style w:type="paragraph" w:customStyle="1" w:styleId="184">
    <w:name w:val="Título11"/>
    <w:basedOn w:val="143"/>
    <w:next w:val="1"/>
    <w:qFormat/>
    <w:uiPriority w:val="0"/>
    <w:pPr>
      <w:spacing w:before="240" w:after="120"/>
    </w:pPr>
    <w:rPr>
      <w:rFonts w:ascii="Liberation Sans" w:hAnsi="Liberation Sans" w:cs="Liberation Sans"/>
      <w:sz w:val="28"/>
      <w:szCs w:val="28"/>
    </w:rPr>
  </w:style>
  <w:style w:type="paragraph" w:customStyle="1" w:styleId="185">
    <w:name w:val="Título2"/>
    <w:basedOn w:val="143"/>
    <w:next w:val="1"/>
    <w:qFormat/>
    <w:uiPriority w:val="0"/>
    <w:pPr>
      <w:jc w:val="center"/>
    </w:pPr>
    <w:rPr>
      <w:b/>
      <w:sz w:val="22"/>
    </w:rPr>
  </w:style>
  <w:style w:type="paragraph" w:customStyle="1" w:styleId="186">
    <w:name w:val="Recuo de corpo de texto 32"/>
    <w:basedOn w:val="143"/>
    <w:next w:val="1"/>
    <w:qFormat/>
    <w:uiPriority w:val="0"/>
    <w:pPr>
      <w:ind w:left="0" w:right="0" w:firstLine="277"/>
      <w:jc w:val="both"/>
    </w:pPr>
    <w:rPr>
      <w:sz w:val="24"/>
    </w:rPr>
  </w:style>
  <w:style w:type="paragraph" w:customStyle="1" w:styleId="187">
    <w:name w:val="Corpo de texto 22"/>
    <w:basedOn w:val="143"/>
    <w:next w:val="1"/>
    <w:qFormat/>
    <w:uiPriority w:val="0"/>
    <w:pPr>
      <w:jc w:val="both"/>
    </w:pPr>
    <w:rPr>
      <w:rFonts w:ascii="Arial" w:hAnsi="Arial" w:cs="Arial"/>
      <w:sz w:val="24"/>
    </w:rPr>
  </w:style>
  <w:style w:type="paragraph" w:customStyle="1" w:styleId="188">
    <w:name w:val="FR4"/>
    <w:basedOn w:val="144"/>
    <w:next w:val="1"/>
    <w:qFormat/>
    <w:uiPriority w:val="0"/>
    <w:pPr>
      <w:spacing w:before="120" w:after="0"/>
    </w:pPr>
    <w:rPr>
      <w:rFonts w:ascii="Arial" w:hAnsi="Arial" w:cs="Arial"/>
      <w:color w:val="000000"/>
      <w:szCs w:val="20"/>
      <w:lang w:val="pt-PT" w:bidi="ar-SA"/>
    </w:rPr>
  </w:style>
  <w:style w:type="paragraph" w:customStyle="1" w:styleId="189">
    <w:name w:val="p0"/>
    <w:basedOn w:val="143"/>
    <w:next w:val="1"/>
    <w:qFormat/>
    <w:uiPriority w:val="0"/>
    <w:pPr>
      <w:tabs>
        <w:tab w:val="left" w:pos="718"/>
      </w:tabs>
      <w:spacing w:line="240" w:lineRule="atLeast"/>
      <w:jc w:val="both"/>
    </w:pPr>
    <w:rPr>
      <w:sz w:val="24"/>
    </w:rPr>
  </w:style>
  <w:style w:type="paragraph" w:customStyle="1" w:styleId="190">
    <w:name w:val="p33"/>
    <w:basedOn w:val="143"/>
    <w:next w:val="1"/>
    <w:qFormat/>
    <w:uiPriority w:val="0"/>
    <w:pPr>
      <w:spacing w:line="260" w:lineRule="atLeast"/>
    </w:pPr>
    <w:rPr>
      <w:sz w:val="24"/>
    </w:rPr>
  </w:style>
  <w:style w:type="paragraph" w:customStyle="1" w:styleId="191">
    <w:name w:val="p6"/>
    <w:basedOn w:val="143"/>
    <w:next w:val="1"/>
    <w:qFormat/>
    <w:uiPriority w:val="0"/>
    <w:pPr>
      <w:tabs>
        <w:tab w:val="left" w:pos="22154"/>
      </w:tabs>
      <w:spacing w:line="240" w:lineRule="atLeast"/>
      <w:ind w:left="2960" w:right="0" w:firstLine="0"/>
      <w:jc w:val="both"/>
    </w:pPr>
    <w:rPr>
      <w:sz w:val="24"/>
    </w:rPr>
  </w:style>
  <w:style w:type="paragraph" w:customStyle="1" w:styleId="192">
    <w:name w:val="Corpo de texto 32"/>
    <w:basedOn w:val="143"/>
    <w:next w:val="1"/>
    <w:qFormat/>
    <w:uiPriority w:val="0"/>
    <w:pPr>
      <w:spacing w:before="0" w:after="120"/>
    </w:pPr>
    <w:rPr>
      <w:sz w:val="16"/>
      <w:szCs w:val="16"/>
    </w:rPr>
  </w:style>
  <w:style w:type="paragraph" w:customStyle="1" w:styleId="193">
    <w:name w:val="_A010177"/>
    <w:basedOn w:val="143"/>
    <w:next w:val="1"/>
    <w:qFormat/>
    <w:uiPriority w:val="0"/>
    <w:pPr>
      <w:jc w:val="both"/>
    </w:pPr>
    <w:rPr>
      <w:sz w:val="24"/>
    </w:rPr>
  </w:style>
  <w:style w:type="paragraph" w:customStyle="1" w:styleId="194">
    <w:name w:val="Default"/>
    <w:basedOn w:val="144"/>
    <w:next w:val="1"/>
    <w:qFormat/>
    <w:uiPriority w:val="0"/>
    <w:rPr>
      <w:rFonts w:ascii="Garamond" w:hAnsi="Garamond" w:cs="Garamond"/>
      <w:color w:val="000000"/>
      <w:lang w:bidi="ar-SA"/>
    </w:rPr>
  </w:style>
  <w:style w:type="paragraph" w:customStyle="1" w:styleId="195">
    <w:name w:val="Corpo de texto 211"/>
    <w:basedOn w:val="143"/>
    <w:next w:val="1"/>
    <w:qFormat/>
    <w:uiPriority w:val="0"/>
    <w:pPr>
      <w:jc w:val="both"/>
    </w:pPr>
    <w:rPr>
      <w:sz w:val="24"/>
    </w:rPr>
  </w:style>
  <w:style w:type="paragraph" w:customStyle="1" w:styleId="196">
    <w:name w:val="Parágrafo da Lista"/>
    <w:basedOn w:val="143"/>
    <w:next w:val="1"/>
    <w:qFormat/>
    <w:uiPriority w:val="0"/>
    <w:pPr>
      <w:ind w:left="720" w:right="0" w:firstLine="0"/>
    </w:pPr>
  </w:style>
  <w:style w:type="paragraph" w:customStyle="1" w:styleId="197">
    <w:name w:val="Estilo2"/>
    <w:basedOn w:val="143"/>
    <w:next w:val="1"/>
    <w:qFormat/>
    <w:uiPriority w:val="0"/>
    <w:pPr>
      <w:ind w:left="2694" w:right="0" w:hanging="284"/>
      <w:jc w:val="both"/>
    </w:pPr>
    <w:rPr>
      <w:sz w:val="24"/>
    </w:rPr>
  </w:style>
  <w:style w:type="paragraph" w:customStyle="1" w:styleId="198">
    <w:name w:val="Texto de balão1"/>
    <w:basedOn w:val="143"/>
    <w:next w:val="1"/>
    <w:qFormat/>
    <w:uiPriority w:val="0"/>
    <w:rPr>
      <w:rFonts w:ascii="Tahoma" w:hAnsi="Tahoma" w:cs="Tahoma"/>
      <w:sz w:val="16"/>
      <w:szCs w:val="16"/>
    </w:rPr>
  </w:style>
  <w:style w:type="paragraph" w:customStyle="1" w:styleId="199">
    <w:name w:val="alínea"/>
    <w:basedOn w:val="143"/>
    <w:next w:val="1"/>
    <w:qFormat/>
    <w:uiPriority w:val="0"/>
    <w:pPr>
      <w:tabs>
        <w:tab w:val="left" w:pos="7936"/>
      </w:tabs>
      <w:spacing w:before="120" w:after="0" w:line="360" w:lineRule="auto"/>
      <w:ind w:left="1134" w:right="0" w:hanging="567"/>
      <w:jc w:val="both"/>
    </w:pPr>
    <w:rPr>
      <w:rFonts w:ascii="Arial" w:hAnsi="Arial" w:cs="Arial"/>
    </w:rPr>
  </w:style>
  <w:style w:type="paragraph" w:customStyle="1" w:styleId="200">
    <w:name w:val="1.1 - Numeração 1"/>
    <w:basedOn w:val="143"/>
    <w:next w:val="1"/>
    <w:qFormat/>
    <w:uiPriority w:val="0"/>
    <w:pPr>
      <w:tabs>
        <w:tab w:val="left" w:pos="566"/>
      </w:tabs>
      <w:spacing w:before="280" w:after="280"/>
      <w:jc w:val="both"/>
    </w:pPr>
    <w:rPr>
      <w:rFonts w:ascii="Arial" w:hAnsi="Arial" w:cs="Arial"/>
      <w:sz w:val="22"/>
      <w:szCs w:val="22"/>
      <w:shd w:val="clear" w:color="auto" w:fill="FFFFFF"/>
    </w:rPr>
  </w:style>
  <w:style w:type="paragraph" w:customStyle="1" w:styleId="201">
    <w:name w:val="1.1.1 - Numeração 2"/>
    <w:basedOn w:val="143"/>
    <w:next w:val="1"/>
    <w:qFormat/>
    <w:uiPriority w:val="0"/>
    <w:pPr>
      <w:spacing w:before="280" w:after="280"/>
      <w:jc w:val="both"/>
    </w:pPr>
    <w:rPr>
      <w:rFonts w:ascii="Arial" w:hAnsi="Arial" w:cs="Arial"/>
      <w:b/>
      <w:sz w:val="22"/>
      <w:szCs w:val="22"/>
      <w:shd w:val="clear" w:color="auto" w:fill="FFFFFF"/>
    </w:rPr>
  </w:style>
  <w:style w:type="paragraph" w:customStyle="1" w:styleId="202">
    <w:name w:val="Corpo de texto 21"/>
    <w:basedOn w:val="143"/>
    <w:next w:val="1"/>
    <w:qFormat/>
    <w:uiPriority w:val="0"/>
    <w:pPr>
      <w:jc w:val="both"/>
    </w:pPr>
    <w:rPr>
      <w:rFonts w:ascii="Arial" w:hAnsi="Arial" w:cs="Arial"/>
      <w:sz w:val="24"/>
    </w:rPr>
  </w:style>
  <w:style w:type="paragraph" w:customStyle="1" w:styleId="203">
    <w:name w:val="Título1"/>
    <w:basedOn w:val="143"/>
    <w:next w:val="1"/>
    <w:qFormat/>
    <w:uiPriority w:val="0"/>
    <w:pPr>
      <w:jc w:val="center"/>
    </w:pPr>
    <w:rPr>
      <w:b/>
      <w:sz w:val="22"/>
    </w:rPr>
  </w:style>
  <w:style w:type="paragraph" w:customStyle="1" w:styleId="204">
    <w:name w:val="Recuo de corpo de texto 31"/>
    <w:basedOn w:val="143"/>
    <w:next w:val="1"/>
    <w:qFormat/>
    <w:uiPriority w:val="0"/>
    <w:pPr>
      <w:ind w:left="0" w:right="0" w:firstLine="277"/>
      <w:jc w:val="both"/>
    </w:pPr>
    <w:rPr>
      <w:sz w:val="24"/>
    </w:rPr>
  </w:style>
  <w:style w:type="paragraph" w:customStyle="1" w:styleId="205">
    <w:name w:val="Corpo de texto 31"/>
    <w:basedOn w:val="143"/>
    <w:next w:val="1"/>
    <w:qFormat/>
    <w:uiPriority w:val="0"/>
    <w:pPr>
      <w:spacing w:before="0" w:after="120"/>
    </w:pPr>
    <w:rPr>
      <w:sz w:val="16"/>
      <w:szCs w:val="16"/>
    </w:rPr>
  </w:style>
  <w:style w:type="paragraph" w:customStyle="1" w:styleId="206">
    <w:name w:val="Table Contents"/>
    <w:basedOn w:val="143"/>
    <w:next w:val="1"/>
    <w:qFormat/>
    <w:uiPriority w:val="0"/>
  </w:style>
  <w:style w:type="paragraph" w:customStyle="1" w:styleId="207">
    <w:name w:val="Table Heading"/>
    <w:basedOn w:val="206"/>
    <w:next w:val="1"/>
    <w:qFormat/>
    <w:uiPriority w:val="0"/>
    <w:pPr>
      <w:jc w:val="center"/>
    </w:pPr>
    <w:rPr>
      <w:b/>
    </w:rPr>
  </w:style>
  <w:style w:type="paragraph" w:customStyle="1" w:styleId="208">
    <w:name w:val="Frame contents"/>
    <w:basedOn w:val="143"/>
    <w:next w:val="1"/>
    <w:qFormat/>
    <w:uiPriority w:val="0"/>
  </w:style>
  <w:style w:type="paragraph" w:customStyle="1" w:styleId="209">
    <w:name w:val="Tabela normal1"/>
    <w:basedOn w:val="144"/>
    <w:next w:val="1"/>
    <w:qFormat/>
    <w:uiPriority w:val="0"/>
    <w:rPr>
      <w:rFonts w:ascii="Times New Roman" w:hAnsi="Times New Roman" w:cs="Times New Roman"/>
      <w:color w:val="000000"/>
      <w:sz w:val="20"/>
      <w:szCs w:val="20"/>
      <w:lang w:bidi="ar-SA"/>
    </w:rPr>
  </w:style>
  <w:style w:type="paragraph" w:customStyle="1" w:styleId="210">
    <w:name w:val="Standard (user)"/>
    <w:basedOn w:val="144"/>
    <w:next w:val="1"/>
    <w:qFormat/>
    <w:uiPriority w:val="0"/>
    <w:rPr>
      <w:color w:val="000000"/>
    </w:rPr>
  </w:style>
  <w:style w:type="paragraph" w:customStyle="1" w:styleId="211">
    <w:name w:val="Corpo de texto 23"/>
    <w:basedOn w:val="143"/>
    <w:next w:val="1"/>
    <w:qFormat/>
    <w:uiPriority w:val="0"/>
    <w:pPr>
      <w:jc w:val="both"/>
    </w:pPr>
    <w:rPr>
      <w:rFonts w:ascii="Arial" w:hAnsi="Arial" w:cs="Arial"/>
      <w:sz w:val="24"/>
    </w:rPr>
  </w:style>
  <w:style w:type="paragraph" w:customStyle="1" w:styleId="212">
    <w:name w:val="Texto de balão2"/>
    <w:basedOn w:val="1"/>
    <w:next w:val="1"/>
    <w:qFormat/>
    <w:uiPriority w:val="0"/>
    <w:rPr>
      <w:rFonts w:ascii="Segoe UI" w:hAnsi="Segoe UI" w:cs="Segoe UI"/>
      <w:sz w:val="18"/>
      <w:szCs w:val="16"/>
    </w:rPr>
  </w:style>
  <w:style w:type="paragraph" w:customStyle="1" w:styleId="213">
    <w:name w:val="Sem Espaçamento"/>
    <w:basedOn w:val="144"/>
    <w:next w:val="1"/>
    <w:qFormat/>
    <w:uiPriority w:val="0"/>
    <w:rPr>
      <w:lang w:val="pt-PT"/>
    </w:rPr>
  </w:style>
  <w:style w:type="paragraph" w:customStyle="1" w:styleId="214">
    <w:name w:val="Normal (Web)1"/>
    <w:basedOn w:val="143"/>
    <w:next w:val="1"/>
    <w:qFormat/>
    <w:uiPriority w:val="0"/>
    <w:pPr>
      <w:spacing w:before="280" w:after="280"/>
    </w:pPr>
  </w:style>
  <w:style w:type="paragraph" w:customStyle="1" w:styleId="215">
    <w:name w:val="Standard (WW)"/>
    <w:basedOn w:val="144"/>
    <w:next w:val="1"/>
    <w:qFormat/>
    <w:uiPriority w:val="0"/>
    <w:rPr>
      <w:rFonts w:ascii="Times New Roman" w:hAnsi="Times New Roman" w:cs="Times New Roman"/>
      <w:color w:val="000000"/>
      <w:sz w:val="20"/>
      <w:szCs w:val="20"/>
    </w:rPr>
  </w:style>
  <w:style w:type="character" w:customStyle="1" w:styleId="216">
    <w:name w:val="Heading 1 Char"/>
    <w:basedOn w:val="2"/>
    <w:qFormat/>
    <w:uiPriority w:val="0"/>
    <w:rPr>
      <w:rFonts w:ascii="Arial" w:hAnsi="Arial" w:cs="Arial"/>
      <w:color w:val="0F4761"/>
      <w:sz w:val="40"/>
      <w:szCs w:val="40"/>
    </w:rPr>
  </w:style>
  <w:style w:type="character" w:customStyle="1" w:styleId="217">
    <w:name w:val="Heading 2 Char"/>
    <w:basedOn w:val="2"/>
    <w:qFormat/>
    <w:uiPriority w:val="0"/>
    <w:rPr>
      <w:rFonts w:ascii="Arial" w:hAnsi="Arial" w:cs="Arial"/>
      <w:color w:val="0F4761"/>
      <w:sz w:val="32"/>
      <w:szCs w:val="32"/>
    </w:rPr>
  </w:style>
  <w:style w:type="character" w:customStyle="1" w:styleId="218">
    <w:name w:val="Heading 3 Char"/>
    <w:basedOn w:val="2"/>
    <w:qFormat/>
    <w:uiPriority w:val="0"/>
    <w:rPr>
      <w:rFonts w:ascii="Arial" w:hAnsi="Arial" w:cs="Arial"/>
      <w:color w:val="0F4761"/>
      <w:sz w:val="28"/>
      <w:szCs w:val="28"/>
    </w:rPr>
  </w:style>
  <w:style w:type="character" w:customStyle="1" w:styleId="219">
    <w:name w:val="Heading 4 Char"/>
    <w:basedOn w:val="2"/>
    <w:qFormat/>
    <w:uiPriority w:val="0"/>
    <w:rPr>
      <w:rFonts w:ascii="Arial" w:hAnsi="Arial" w:cs="Arial"/>
      <w:i/>
      <w:color w:val="0F4761"/>
    </w:rPr>
  </w:style>
  <w:style w:type="character" w:customStyle="1" w:styleId="220">
    <w:name w:val="Heading 5 Char"/>
    <w:basedOn w:val="2"/>
    <w:qFormat/>
    <w:uiPriority w:val="0"/>
    <w:rPr>
      <w:rFonts w:ascii="Arial" w:hAnsi="Arial" w:cs="Arial"/>
      <w:color w:val="0F4761"/>
    </w:rPr>
  </w:style>
  <w:style w:type="character" w:customStyle="1" w:styleId="221">
    <w:name w:val="Heading 6 Char"/>
    <w:basedOn w:val="2"/>
    <w:qFormat/>
    <w:uiPriority w:val="0"/>
    <w:rPr>
      <w:rFonts w:ascii="Arial" w:hAnsi="Arial" w:cs="Arial"/>
      <w:i/>
      <w:color w:val="595959"/>
    </w:rPr>
  </w:style>
  <w:style w:type="character" w:customStyle="1" w:styleId="222">
    <w:name w:val="Heading 7 Char"/>
    <w:basedOn w:val="2"/>
    <w:qFormat/>
    <w:uiPriority w:val="0"/>
    <w:rPr>
      <w:rFonts w:ascii="Arial" w:hAnsi="Arial" w:cs="Arial"/>
      <w:color w:val="595959"/>
    </w:rPr>
  </w:style>
  <w:style w:type="character" w:customStyle="1" w:styleId="223">
    <w:name w:val="Heading 8 Char"/>
    <w:basedOn w:val="2"/>
    <w:qFormat/>
    <w:uiPriority w:val="0"/>
    <w:rPr>
      <w:rFonts w:ascii="Arial" w:hAnsi="Arial" w:cs="Arial"/>
      <w:i/>
      <w:color w:val="272727"/>
    </w:rPr>
  </w:style>
  <w:style w:type="character" w:customStyle="1" w:styleId="224">
    <w:name w:val="Heading 9 Char"/>
    <w:basedOn w:val="2"/>
    <w:qFormat/>
    <w:uiPriority w:val="0"/>
    <w:rPr>
      <w:rFonts w:ascii="Arial" w:hAnsi="Arial" w:cs="Arial"/>
      <w:i/>
      <w:color w:val="272727"/>
    </w:rPr>
  </w:style>
  <w:style w:type="character" w:customStyle="1" w:styleId="225">
    <w:name w:val="Title Char"/>
    <w:basedOn w:val="2"/>
    <w:qFormat/>
    <w:uiPriority w:val="0"/>
    <w:rPr>
      <w:rFonts w:ascii="Arial" w:hAnsi="Arial" w:cs="Arial"/>
      <w:spacing w:val="-10"/>
      <w:sz w:val="56"/>
      <w:szCs w:val="56"/>
    </w:rPr>
  </w:style>
  <w:style w:type="character" w:customStyle="1" w:styleId="226">
    <w:name w:val="Subtitle Char"/>
    <w:basedOn w:val="2"/>
    <w:qFormat/>
    <w:uiPriority w:val="0"/>
    <w:rPr>
      <w:color w:val="595959"/>
      <w:spacing w:val="14"/>
      <w:sz w:val="28"/>
      <w:szCs w:val="28"/>
    </w:rPr>
  </w:style>
  <w:style w:type="character" w:customStyle="1" w:styleId="227">
    <w:name w:val="Quote Char"/>
    <w:basedOn w:val="2"/>
    <w:qFormat/>
    <w:uiPriority w:val="0"/>
    <w:rPr>
      <w:i/>
      <w:color w:val="404040"/>
    </w:rPr>
  </w:style>
  <w:style w:type="character" w:customStyle="1" w:styleId="228">
    <w:name w:val="Intense Emphasis"/>
    <w:basedOn w:val="2"/>
    <w:qFormat/>
    <w:uiPriority w:val="0"/>
    <w:rPr>
      <w:i/>
      <w:color w:val="0F4761"/>
    </w:rPr>
  </w:style>
  <w:style w:type="character" w:customStyle="1" w:styleId="229">
    <w:name w:val="Intense Quote Char"/>
    <w:basedOn w:val="2"/>
    <w:qFormat/>
    <w:uiPriority w:val="0"/>
    <w:rPr>
      <w:i/>
      <w:color w:val="0F4761"/>
    </w:rPr>
  </w:style>
  <w:style w:type="character" w:customStyle="1" w:styleId="230">
    <w:name w:val="Intense Reference"/>
    <w:basedOn w:val="2"/>
    <w:qFormat/>
    <w:uiPriority w:val="0"/>
    <w:rPr>
      <w:b/>
      <w:smallCaps/>
      <w:color w:val="0F4761"/>
      <w:spacing w:val="5"/>
    </w:rPr>
  </w:style>
  <w:style w:type="character" w:customStyle="1" w:styleId="231">
    <w:name w:val="Subtle Emphasis"/>
    <w:basedOn w:val="2"/>
    <w:qFormat/>
    <w:uiPriority w:val="0"/>
    <w:rPr>
      <w:i/>
      <w:color w:val="404040"/>
    </w:rPr>
  </w:style>
  <w:style w:type="character" w:customStyle="1" w:styleId="232">
    <w:name w:val="Strong"/>
    <w:basedOn w:val="2"/>
    <w:qFormat/>
    <w:uiPriority w:val="0"/>
    <w:rPr>
      <w:b/>
    </w:rPr>
  </w:style>
  <w:style w:type="character" w:customStyle="1" w:styleId="233">
    <w:name w:val="Subtle Reference"/>
    <w:basedOn w:val="2"/>
    <w:qFormat/>
    <w:uiPriority w:val="0"/>
    <w:rPr>
      <w:smallCaps/>
      <w:color w:val="5A5A5A"/>
    </w:rPr>
  </w:style>
  <w:style w:type="character" w:customStyle="1" w:styleId="234">
    <w:name w:val="Book Title"/>
    <w:basedOn w:val="2"/>
    <w:qFormat/>
    <w:uiPriority w:val="0"/>
    <w:rPr>
      <w:b/>
      <w:i/>
      <w:spacing w:val="5"/>
    </w:rPr>
  </w:style>
  <w:style w:type="character" w:customStyle="1" w:styleId="235">
    <w:name w:val="Header Char"/>
    <w:basedOn w:val="2"/>
    <w:qFormat/>
    <w:uiPriority w:val="0"/>
  </w:style>
  <w:style w:type="character" w:customStyle="1" w:styleId="236">
    <w:name w:val="Footer Char"/>
    <w:basedOn w:val="2"/>
    <w:qFormat/>
    <w:uiPriority w:val="0"/>
  </w:style>
  <w:style w:type="character" w:customStyle="1" w:styleId="237">
    <w:name w:val="Footnote Text Char"/>
    <w:basedOn w:val="2"/>
    <w:qFormat/>
    <w:uiPriority w:val="0"/>
    <w:rPr>
      <w:sz w:val="20"/>
      <w:szCs w:val="20"/>
    </w:rPr>
  </w:style>
  <w:style w:type="character" w:customStyle="1" w:styleId="238">
    <w:name w:val="footnote reference"/>
    <w:basedOn w:val="2"/>
    <w:qFormat/>
    <w:uiPriority w:val="0"/>
    <w:rPr>
      <w:vertAlign w:val="superscript"/>
    </w:rPr>
  </w:style>
  <w:style w:type="character" w:customStyle="1" w:styleId="239">
    <w:name w:val="Endnote Text Char"/>
    <w:basedOn w:val="2"/>
    <w:qFormat/>
    <w:uiPriority w:val="0"/>
    <w:rPr>
      <w:sz w:val="20"/>
      <w:szCs w:val="20"/>
    </w:rPr>
  </w:style>
  <w:style w:type="character" w:customStyle="1" w:styleId="240">
    <w:name w:val="endnote reference"/>
    <w:basedOn w:val="2"/>
    <w:qFormat/>
    <w:uiPriority w:val="0"/>
    <w:rPr>
      <w:vertAlign w:val="superscript"/>
    </w:rPr>
  </w:style>
  <w:style w:type="character" w:customStyle="1" w:styleId="241">
    <w:name w:val="Hyperlink1"/>
    <w:basedOn w:val="2"/>
    <w:qFormat/>
    <w:uiPriority w:val="0"/>
    <w:rPr>
      <w:color w:val="0563C1"/>
      <w:u w:val="single"/>
    </w:rPr>
  </w:style>
  <w:style w:type="character" w:customStyle="1" w:styleId="242">
    <w:name w:val="Internet link"/>
    <w:qFormat/>
    <w:uiPriority w:val="0"/>
    <w:rPr>
      <w:color w:val="0563C1"/>
      <w:u w:val="single"/>
    </w:rPr>
  </w:style>
  <w:style w:type="character" w:customStyle="1" w:styleId="243">
    <w:name w:val="Internet link1"/>
    <w:qFormat/>
    <w:uiPriority w:val="0"/>
    <w:rPr>
      <w:color w:val="0563C1"/>
      <w:u w:val="single"/>
    </w:rPr>
  </w:style>
  <w:style w:type="character" w:customStyle="1" w:styleId="244">
    <w:name w:val="Internet link2"/>
    <w:qFormat/>
    <w:uiPriority w:val="0"/>
    <w:rPr>
      <w:color w:val="0563C1"/>
      <w:u w:val="single"/>
    </w:rPr>
  </w:style>
  <w:style w:type="character" w:customStyle="1" w:styleId="245">
    <w:name w:val="Internet link3"/>
    <w:qFormat/>
    <w:uiPriority w:val="0"/>
    <w:rPr>
      <w:color w:val="0563C1"/>
      <w:u w:val="single"/>
    </w:rPr>
  </w:style>
  <w:style w:type="character" w:customStyle="1" w:styleId="246">
    <w:name w:val="Internet link4"/>
    <w:qFormat/>
    <w:uiPriority w:val="0"/>
    <w:rPr>
      <w:color w:val="0563C1"/>
      <w:u w:val="single"/>
    </w:rPr>
  </w:style>
  <w:style w:type="character" w:customStyle="1" w:styleId="247">
    <w:name w:val="Internet link5"/>
    <w:qFormat/>
    <w:uiPriority w:val="0"/>
    <w:rPr>
      <w:color w:val="0000FF"/>
      <w:u w:val="single"/>
    </w:rPr>
  </w:style>
  <w:style w:type="character" w:customStyle="1" w:styleId="248">
    <w:name w:val="FollowedHyperlink"/>
    <w:basedOn w:val="2"/>
    <w:qFormat/>
    <w:uiPriority w:val="0"/>
    <w:rPr>
      <w:color w:val="954F72"/>
      <w:u w:val="single"/>
    </w:rPr>
  </w:style>
  <w:style w:type="character" w:customStyle="1" w:styleId="249">
    <w:name w:val="Placeholder Text"/>
    <w:basedOn w:val="2"/>
    <w:qFormat/>
    <w:uiPriority w:val="0"/>
    <w:rPr>
      <w:color w:val="666666"/>
    </w:rPr>
  </w:style>
  <w:style w:type="character" w:customStyle="1" w:styleId="250">
    <w:name w:val="Fonte parág. padrão13"/>
    <w:qFormat/>
    <w:uiPriority w:val="0"/>
  </w:style>
  <w:style w:type="character" w:customStyle="1" w:styleId="251">
    <w:name w:val="WW8Num2z0"/>
    <w:qFormat/>
    <w:uiPriority w:val="0"/>
  </w:style>
  <w:style w:type="character" w:customStyle="1" w:styleId="252">
    <w:name w:val="WW8Num3z0"/>
    <w:qFormat/>
    <w:uiPriority w:val="0"/>
    <w:rPr>
      <w:rFonts w:ascii="Symbol" w:hAnsi="Symbol" w:cs="Symbol"/>
    </w:rPr>
  </w:style>
  <w:style w:type="character" w:customStyle="1" w:styleId="253">
    <w:name w:val="WW8Num3z1"/>
    <w:qFormat/>
    <w:uiPriority w:val="0"/>
    <w:rPr>
      <w:rFonts w:ascii="Courier New" w:hAnsi="Courier New" w:cs="Courier New"/>
    </w:rPr>
  </w:style>
  <w:style w:type="character" w:customStyle="1" w:styleId="254">
    <w:name w:val="WW8Num3z2"/>
    <w:qFormat/>
    <w:uiPriority w:val="0"/>
    <w:rPr>
      <w:rFonts w:ascii="Wingdings" w:hAnsi="Wingdings" w:cs="Wingdings"/>
    </w:rPr>
  </w:style>
  <w:style w:type="character" w:customStyle="1" w:styleId="255">
    <w:name w:val="WW8Num4z0"/>
    <w:qFormat/>
    <w:uiPriority w:val="0"/>
    <w:rPr>
      <w:rFonts w:ascii="Wingdings" w:hAnsi="Wingdings" w:cs="Wingdings"/>
    </w:rPr>
  </w:style>
  <w:style w:type="character" w:customStyle="1" w:styleId="256">
    <w:name w:val="WW8Num5z0"/>
    <w:qFormat/>
    <w:uiPriority w:val="0"/>
  </w:style>
  <w:style w:type="character" w:customStyle="1" w:styleId="257">
    <w:name w:val="WW8Num6z0"/>
    <w:qFormat/>
    <w:uiPriority w:val="0"/>
    <w:rPr>
      <w:rFonts w:ascii="Symbol" w:hAnsi="Symbol" w:cs="Symbol"/>
    </w:rPr>
  </w:style>
  <w:style w:type="character" w:customStyle="1" w:styleId="258">
    <w:name w:val="WW8Num6z1"/>
    <w:qFormat/>
    <w:uiPriority w:val="0"/>
    <w:rPr>
      <w:rFonts w:ascii="OpenSymbol" w:hAnsi="OpenSymbol" w:cs="OpenSymbol"/>
    </w:rPr>
  </w:style>
  <w:style w:type="character" w:customStyle="1" w:styleId="259">
    <w:name w:val="Fonte parág. padrão3"/>
    <w:qFormat/>
    <w:uiPriority w:val="0"/>
  </w:style>
  <w:style w:type="character" w:customStyle="1" w:styleId="260">
    <w:name w:val="Emphasis"/>
    <w:qFormat/>
    <w:uiPriority w:val="0"/>
    <w:rPr>
      <w:b/>
    </w:rPr>
  </w:style>
  <w:style w:type="character" w:customStyle="1" w:styleId="261">
    <w:name w:val="Fonte parág. padrão2"/>
    <w:qFormat/>
    <w:uiPriority w:val="0"/>
  </w:style>
  <w:style w:type="character" w:customStyle="1" w:styleId="262">
    <w:name w:val="Page Number"/>
    <w:basedOn w:val="261"/>
    <w:qFormat/>
    <w:uiPriority w:val="0"/>
  </w:style>
  <w:style w:type="character" w:customStyle="1" w:styleId="263">
    <w:name w:val="Fonte parág. padrão12"/>
    <w:qFormat/>
    <w:uiPriority w:val="0"/>
  </w:style>
  <w:style w:type="character" w:customStyle="1" w:styleId="264">
    <w:name w:val="WW8Num7z0"/>
    <w:qFormat/>
    <w:uiPriority w:val="0"/>
    <w:rPr>
      <w:rFonts w:ascii="Symbol" w:hAnsi="Symbol" w:cs="Symbol"/>
    </w:rPr>
  </w:style>
  <w:style w:type="character" w:customStyle="1" w:styleId="265">
    <w:name w:val="WW8Num7z1"/>
    <w:qFormat/>
    <w:uiPriority w:val="0"/>
    <w:rPr>
      <w:rFonts w:ascii="OpenSymbol" w:hAnsi="OpenSymbol" w:cs="OpenSymbol"/>
    </w:rPr>
  </w:style>
  <w:style w:type="character" w:customStyle="1" w:styleId="266">
    <w:name w:val="Fonte parág. padrão11"/>
    <w:qFormat/>
    <w:uiPriority w:val="0"/>
  </w:style>
  <w:style w:type="character" w:customStyle="1" w:styleId="267">
    <w:name w:val="WW8Num8z0"/>
    <w:qFormat/>
    <w:uiPriority w:val="0"/>
  </w:style>
  <w:style w:type="character" w:customStyle="1" w:styleId="268">
    <w:name w:val="WW8Num9z0"/>
    <w:qFormat/>
    <w:uiPriority w:val="0"/>
  </w:style>
  <w:style w:type="character" w:customStyle="1" w:styleId="269">
    <w:name w:val="WW8Num6z2"/>
    <w:qFormat/>
    <w:uiPriority w:val="0"/>
    <w:rPr>
      <w:rFonts w:ascii="Wingdings" w:hAnsi="Wingdings" w:cs="Wingdings"/>
    </w:rPr>
  </w:style>
  <w:style w:type="character" w:customStyle="1" w:styleId="270">
    <w:name w:val="WW8Num10z0"/>
    <w:qFormat/>
    <w:uiPriority w:val="0"/>
    <w:rPr>
      <w:rFonts w:ascii="Book Antiqua" w:hAnsi="Book Antiqua" w:cs="Book Antiqua"/>
      <w:b/>
      <w:sz w:val="18"/>
    </w:rPr>
  </w:style>
  <w:style w:type="character" w:customStyle="1" w:styleId="271">
    <w:name w:val="WW8Num11z0"/>
    <w:qFormat/>
    <w:uiPriority w:val="0"/>
  </w:style>
  <w:style w:type="character" w:customStyle="1" w:styleId="272">
    <w:name w:val="WW8Num12z0"/>
    <w:qFormat/>
    <w:uiPriority w:val="0"/>
  </w:style>
  <w:style w:type="character" w:customStyle="1" w:styleId="273">
    <w:name w:val="WW8Num13z0"/>
    <w:qFormat/>
    <w:uiPriority w:val="0"/>
  </w:style>
  <w:style w:type="character" w:customStyle="1" w:styleId="274">
    <w:name w:val="WW8Num7z2"/>
    <w:qFormat/>
    <w:uiPriority w:val="0"/>
    <w:rPr>
      <w:rFonts w:ascii="Wingdings" w:hAnsi="Wingdings" w:cs="Wingdings"/>
    </w:rPr>
  </w:style>
  <w:style w:type="character" w:customStyle="1" w:styleId="275">
    <w:name w:val="WW8Num11z2"/>
    <w:qFormat/>
    <w:uiPriority w:val="0"/>
    <w:rPr>
      <w:rFonts w:ascii="Book Antiqua" w:hAnsi="Book Antiqua" w:cs="Book Antiqua"/>
      <w:sz w:val="18"/>
      <w:szCs w:val="18"/>
    </w:rPr>
  </w:style>
  <w:style w:type="character" w:customStyle="1" w:styleId="276">
    <w:name w:val="WW8Num13z3"/>
    <w:qFormat/>
    <w:uiPriority w:val="0"/>
    <w:rPr>
      <w:rFonts w:ascii="Book Antiqua" w:hAnsi="Book Antiqua" w:cs="Book Antiqua"/>
      <w:sz w:val="18"/>
      <w:szCs w:val="18"/>
    </w:rPr>
  </w:style>
  <w:style w:type="character" w:customStyle="1" w:styleId="277">
    <w:name w:val="WW8Num14z0"/>
    <w:qFormat/>
    <w:uiPriority w:val="0"/>
  </w:style>
  <w:style w:type="character" w:customStyle="1" w:styleId="278">
    <w:name w:val="WW8Num15z0"/>
    <w:qFormat/>
    <w:uiPriority w:val="0"/>
  </w:style>
  <w:style w:type="character" w:customStyle="1" w:styleId="279">
    <w:name w:val="WW8Num16z0"/>
    <w:qFormat/>
    <w:uiPriority w:val="0"/>
  </w:style>
  <w:style w:type="character" w:customStyle="1" w:styleId="280">
    <w:name w:val="WW8Num17z0"/>
    <w:qFormat/>
    <w:uiPriority w:val="0"/>
  </w:style>
  <w:style w:type="character" w:customStyle="1" w:styleId="281">
    <w:name w:val="WW8Num18z0"/>
    <w:qFormat/>
    <w:uiPriority w:val="0"/>
    <w:rPr>
      <w:rFonts w:ascii="Book Antiqua" w:hAnsi="Book Antiqua" w:cs="Book Antiqua"/>
      <w:sz w:val="18"/>
    </w:rPr>
  </w:style>
  <w:style w:type="character" w:customStyle="1" w:styleId="282">
    <w:name w:val="WW8Num21z0"/>
    <w:qFormat/>
    <w:uiPriority w:val="0"/>
  </w:style>
  <w:style w:type="character" w:customStyle="1" w:styleId="283">
    <w:name w:val="WW8Num21z1"/>
    <w:qFormat/>
    <w:uiPriority w:val="0"/>
    <w:rPr>
      <w:b/>
      <w:color w:val="000000"/>
      <w:sz w:val="22"/>
      <w:szCs w:val="22"/>
    </w:rPr>
  </w:style>
  <w:style w:type="character" w:customStyle="1" w:styleId="284">
    <w:name w:val="WW8Num21z2"/>
    <w:qFormat/>
    <w:uiPriority w:val="0"/>
    <w:rPr>
      <w:rFonts w:ascii="Arial" w:hAnsi="Arial" w:cs="Arial"/>
      <w:b/>
      <w:color w:val="000000"/>
      <w:sz w:val="22"/>
      <w:szCs w:val="22"/>
    </w:rPr>
  </w:style>
  <w:style w:type="character" w:customStyle="1" w:styleId="285">
    <w:name w:val="WW8Num21z3"/>
    <w:qFormat/>
    <w:uiPriority w:val="0"/>
    <w:rPr>
      <w:b/>
    </w:rPr>
  </w:style>
  <w:style w:type="character" w:customStyle="1" w:styleId="286">
    <w:name w:val="WW8Num21z4"/>
    <w:qFormat/>
    <w:uiPriority w:val="0"/>
    <w:rPr>
      <w:b/>
      <w:caps/>
    </w:rPr>
  </w:style>
  <w:style w:type="character" w:customStyle="1" w:styleId="287">
    <w:name w:val="WW8Num21z5"/>
    <w:qFormat/>
    <w:uiPriority w:val="0"/>
    <w:rPr>
      <w:i/>
      <w:caps/>
    </w:rPr>
  </w:style>
  <w:style w:type="character" w:customStyle="1" w:styleId="288">
    <w:name w:val="WW8Num21z6"/>
    <w:qFormat/>
    <w:uiPriority w:val="0"/>
    <w:rPr>
      <w:rFonts w:ascii="Arial" w:hAnsi="Arial" w:cs="Arial"/>
      <w:i/>
      <w:caps/>
      <w:sz w:val="20"/>
    </w:rPr>
  </w:style>
  <w:style w:type="character" w:customStyle="1" w:styleId="289">
    <w:name w:val="WW8Num21z8"/>
    <w:qFormat/>
    <w:uiPriority w:val="0"/>
    <w:rPr>
      <w:b/>
      <w:color w:val="000000"/>
      <w:sz w:val="18"/>
      <w:szCs w:val="18"/>
    </w:rPr>
  </w:style>
  <w:style w:type="character" w:customStyle="1" w:styleId="290">
    <w:name w:val="WW8Num22z0"/>
    <w:qFormat/>
    <w:uiPriority w:val="0"/>
    <w:rPr>
      <w:rFonts w:ascii="Book Antiqua" w:hAnsi="Book Antiqua" w:cs="Book Antiqua"/>
      <w:b/>
      <w:sz w:val="18"/>
    </w:rPr>
  </w:style>
  <w:style w:type="character" w:customStyle="1" w:styleId="291">
    <w:name w:val="WW8Num24z0"/>
    <w:qFormat/>
    <w:uiPriority w:val="0"/>
    <w:rPr>
      <w:rFonts w:ascii="Book Antiqua" w:hAnsi="Book Antiqua" w:cs="Book Antiqua"/>
      <w:sz w:val="18"/>
    </w:rPr>
  </w:style>
  <w:style w:type="character" w:customStyle="1" w:styleId="292">
    <w:name w:val="WW8Num25z0"/>
    <w:qFormat/>
    <w:uiPriority w:val="0"/>
  </w:style>
  <w:style w:type="character" w:customStyle="1" w:styleId="293">
    <w:name w:val="WW8Num27z0"/>
    <w:qFormat/>
    <w:uiPriority w:val="0"/>
  </w:style>
  <w:style w:type="character" w:customStyle="1" w:styleId="294">
    <w:name w:val="WW8Num28z0"/>
    <w:qFormat/>
    <w:uiPriority w:val="0"/>
    <w:rPr>
      <w:rFonts w:ascii="Century Gothic" w:hAnsi="Century Gothic" w:cs="Century Gothic"/>
    </w:rPr>
  </w:style>
  <w:style w:type="character" w:customStyle="1" w:styleId="295">
    <w:name w:val="WW8Num30z0"/>
    <w:qFormat/>
    <w:uiPriority w:val="0"/>
    <w:rPr>
      <w:rFonts w:ascii="Symbol" w:hAnsi="Symbol" w:cs="Symbol"/>
    </w:rPr>
  </w:style>
  <w:style w:type="character" w:customStyle="1" w:styleId="296">
    <w:name w:val="WW8Num30z1"/>
    <w:qFormat/>
    <w:uiPriority w:val="0"/>
    <w:rPr>
      <w:rFonts w:ascii="Courier New" w:hAnsi="Courier New" w:cs="Courier New"/>
    </w:rPr>
  </w:style>
  <w:style w:type="character" w:customStyle="1" w:styleId="297">
    <w:name w:val="WW8Num30z2"/>
    <w:qFormat/>
    <w:uiPriority w:val="0"/>
    <w:rPr>
      <w:rFonts w:ascii="Wingdings" w:hAnsi="Wingdings" w:cs="Wingdings"/>
    </w:rPr>
  </w:style>
  <w:style w:type="character" w:customStyle="1" w:styleId="298">
    <w:name w:val="WW8Num31z1"/>
    <w:qFormat/>
    <w:uiPriority w:val="0"/>
  </w:style>
  <w:style w:type="character" w:customStyle="1" w:styleId="299">
    <w:name w:val="WW8Num32z0"/>
    <w:qFormat/>
    <w:uiPriority w:val="0"/>
  </w:style>
  <w:style w:type="character" w:customStyle="1" w:styleId="300">
    <w:name w:val="WW8Num33z0"/>
    <w:qFormat/>
    <w:uiPriority w:val="0"/>
  </w:style>
  <w:style w:type="character" w:customStyle="1" w:styleId="301">
    <w:name w:val="WW8Num34z0"/>
    <w:qFormat/>
    <w:uiPriority w:val="0"/>
    <w:rPr>
      <w:rFonts w:ascii="Wingdings" w:hAnsi="Wingdings" w:cs="Wingdings"/>
    </w:rPr>
  </w:style>
  <w:style w:type="character" w:customStyle="1" w:styleId="302">
    <w:name w:val="WW8Num34z1"/>
    <w:qFormat/>
    <w:uiPriority w:val="0"/>
    <w:rPr>
      <w:rFonts w:ascii="Courier New" w:hAnsi="Courier New" w:cs="Courier New"/>
    </w:rPr>
  </w:style>
  <w:style w:type="character" w:customStyle="1" w:styleId="303">
    <w:name w:val="WW8Num34z3"/>
    <w:qFormat/>
    <w:uiPriority w:val="0"/>
    <w:rPr>
      <w:rFonts w:ascii="Symbol" w:hAnsi="Symbol" w:cs="Symbol"/>
    </w:rPr>
  </w:style>
  <w:style w:type="character" w:customStyle="1" w:styleId="304">
    <w:name w:val="WW8Num36z0"/>
    <w:qFormat/>
    <w:uiPriority w:val="0"/>
  </w:style>
  <w:style w:type="character" w:customStyle="1" w:styleId="305">
    <w:name w:val="WW8Num37z0"/>
    <w:qFormat/>
    <w:uiPriority w:val="0"/>
  </w:style>
  <w:style w:type="character" w:customStyle="1" w:styleId="306">
    <w:name w:val="WW8Num38z0"/>
    <w:qFormat/>
    <w:uiPriority w:val="0"/>
  </w:style>
  <w:style w:type="character" w:customStyle="1" w:styleId="307">
    <w:name w:val="WW8Num39z0"/>
    <w:qFormat/>
    <w:uiPriority w:val="0"/>
    <w:rPr>
      <w:rFonts w:ascii="Book Antiqua" w:hAnsi="Book Antiqua" w:cs="Book Antiqua"/>
      <w:b/>
      <w:sz w:val="18"/>
    </w:rPr>
  </w:style>
  <w:style w:type="character" w:customStyle="1" w:styleId="308">
    <w:name w:val="WW8Num42z0"/>
    <w:qFormat/>
    <w:uiPriority w:val="0"/>
    <w:rPr>
      <w:sz w:val="18"/>
      <w:szCs w:val="18"/>
    </w:rPr>
  </w:style>
  <w:style w:type="character" w:customStyle="1" w:styleId="309">
    <w:name w:val="WW8Num43z0"/>
    <w:qFormat/>
    <w:uiPriority w:val="0"/>
  </w:style>
  <w:style w:type="character" w:customStyle="1" w:styleId="310">
    <w:name w:val="WW8Num44z0"/>
    <w:qFormat/>
    <w:uiPriority w:val="0"/>
  </w:style>
  <w:style w:type="character" w:customStyle="1" w:styleId="311">
    <w:name w:val="WW8Num45z0"/>
    <w:qFormat/>
    <w:uiPriority w:val="0"/>
  </w:style>
  <w:style w:type="character" w:customStyle="1" w:styleId="312">
    <w:name w:val="WW8NumSt8z0"/>
    <w:qFormat/>
    <w:uiPriority w:val="0"/>
  </w:style>
  <w:style w:type="character" w:customStyle="1" w:styleId="313">
    <w:name w:val="Título Char"/>
    <w:qFormat/>
    <w:uiPriority w:val="0"/>
    <w:rPr>
      <w:b/>
      <w:sz w:val="22"/>
    </w:rPr>
  </w:style>
  <w:style w:type="character" w:customStyle="1" w:styleId="314">
    <w:name w:val="Texto de balão Char"/>
    <w:qFormat/>
    <w:uiPriority w:val="0"/>
    <w:rPr>
      <w:rFonts w:ascii="Tahoma" w:hAnsi="Tahoma" w:cs="Tahoma"/>
      <w:sz w:val="16"/>
      <w:szCs w:val="16"/>
    </w:rPr>
  </w:style>
  <w:style w:type="character" w:customStyle="1" w:styleId="315">
    <w:name w:val="Cabeçalho Char"/>
    <w:qFormat/>
    <w:uiPriority w:val="0"/>
  </w:style>
  <w:style w:type="character" w:customStyle="1" w:styleId="316">
    <w:name w:val="Corpo de texto 2 Char"/>
    <w:qFormat/>
    <w:uiPriority w:val="0"/>
    <w:rPr>
      <w:rFonts w:ascii="Arial" w:hAnsi="Arial" w:cs="Arial"/>
      <w:sz w:val="24"/>
    </w:rPr>
  </w:style>
  <w:style w:type="character" w:customStyle="1" w:styleId="317">
    <w:name w:val="Recuo de corpo de texto Char"/>
    <w:qFormat/>
    <w:uiPriority w:val="0"/>
    <w:rPr>
      <w:sz w:val="24"/>
    </w:rPr>
  </w:style>
  <w:style w:type="character" w:customStyle="1" w:styleId="318">
    <w:name w:val="Corpo de texto Char"/>
    <w:qFormat/>
    <w:uiPriority w:val="0"/>
    <w:rPr>
      <w:rFonts w:ascii="Arial" w:hAnsi="Arial" w:cs="Arial"/>
      <w:b/>
      <w:sz w:val="24"/>
    </w:rPr>
  </w:style>
  <w:style w:type="character" w:customStyle="1" w:styleId="319">
    <w:name w:val="Manoel"/>
    <w:qFormat/>
    <w:uiPriority w:val="0"/>
    <w:rPr>
      <w:rFonts w:ascii="Arial" w:hAnsi="Arial" w:cs="Arial"/>
      <w:color w:val="7030A0"/>
      <w:sz w:val="20"/>
    </w:rPr>
  </w:style>
  <w:style w:type="character" w:customStyle="1" w:styleId="320">
    <w:name w:val="WW8Num1z0"/>
    <w:qFormat/>
    <w:uiPriority w:val="0"/>
  </w:style>
  <w:style w:type="character" w:customStyle="1" w:styleId="321">
    <w:name w:val="WW8Num4z1"/>
    <w:qFormat/>
    <w:uiPriority w:val="0"/>
    <w:rPr>
      <w:b/>
      <w:color w:val="000000"/>
      <w:sz w:val="22"/>
      <w:szCs w:val="22"/>
    </w:rPr>
  </w:style>
  <w:style w:type="character" w:customStyle="1" w:styleId="322">
    <w:name w:val="WW8Num4z2"/>
    <w:qFormat/>
    <w:uiPriority w:val="0"/>
    <w:rPr>
      <w:rFonts w:ascii="Arial" w:hAnsi="Arial" w:cs="Arial"/>
      <w:b/>
      <w:color w:val="000000"/>
      <w:sz w:val="22"/>
      <w:szCs w:val="22"/>
    </w:rPr>
  </w:style>
  <w:style w:type="character" w:customStyle="1" w:styleId="323">
    <w:name w:val="WW8Num4z3"/>
    <w:qFormat/>
    <w:uiPriority w:val="0"/>
    <w:rPr>
      <w:b/>
    </w:rPr>
  </w:style>
  <w:style w:type="character" w:customStyle="1" w:styleId="324">
    <w:name w:val="WW8Num4z4"/>
    <w:qFormat/>
    <w:uiPriority w:val="0"/>
    <w:rPr>
      <w:b/>
      <w:caps/>
    </w:rPr>
  </w:style>
  <w:style w:type="character" w:customStyle="1" w:styleId="325">
    <w:name w:val="WW8Num4z5"/>
    <w:qFormat/>
    <w:uiPriority w:val="0"/>
    <w:rPr>
      <w:i/>
      <w:caps/>
    </w:rPr>
  </w:style>
  <w:style w:type="character" w:customStyle="1" w:styleId="326">
    <w:name w:val="WW8Num4z6"/>
    <w:qFormat/>
    <w:uiPriority w:val="0"/>
    <w:rPr>
      <w:rFonts w:ascii="Arial" w:hAnsi="Arial" w:cs="Arial"/>
      <w:i/>
      <w:caps/>
      <w:sz w:val="20"/>
    </w:rPr>
  </w:style>
  <w:style w:type="character" w:customStyle="1" w:styleId="327">
    <w:name w:val="WW8Num4z8"/>
    <w:qFormat/>
    <w:uiPriority w:val="0"/>
    <w:rPr>
      <w:b/>
      <w:color w:val="000000"/>
      <w:sz w:val="18"/>
      <w:szCs w:val="18"/>
    </w:rPr>
  </w:style>
  <w:style w:type="character" w:customStyle="1" w:styleId="328">
    <w:name w:val="WW8Num11z1"/>
    <w:qFormat/>
    <w:uiPriority w:val="0"/>
    <w:rPr>
      <w:rFonts w:ascii="Courier New" w:hAnsi="Courier New" w:cs="Courier New"/>
    </w:rPr>
  </w:style>
  <w:style w:type="character" w:customStyle="1" w:styleId="329">
    <w:name w:val="WW8Num12z1"/>
    <w:qFormat/>
    <w:uiPriority w:val="0"/>
  </w:style>
  <w:style w:type="character" w:customStyle="1" w:styleId="330">
    <w:name w:val="WW8Num15z1"/>
    <w:qFormat/>
    <w:uiPriority w:val="0"/>
    <w:rPr>
      <w:rFonts w:ascii="Courier New" w:hAnsi="Courier New" w:cs="Courier New"/>
    </w:rPr>
  </w:style>
  <w:style w:type="character" w:customStyle="1" w:styleId="331">
    <w:name w:val="WW8Num15z3"/>
    <w:qFormat/>
    <w:uiPriority w:val="0"/>
    <w:rPr>
      <w:rFonts w:ascii="Symbol" w:hAnsi="Symbol" w:cs="Symbol"/>
    </w:rPr>
  </w:style>
  <w:style w:type="character" w:customStyle="1" w:styleId="332">
    <w:name w:val="WW8Num19z0"/>
    <w:qFormat/>
    <w:uiPriority w:val="0"/>
  </w:style>
  <w:style w:type="character" w:customStyle="1" w:styleId="333">
    <w:name w:val="WW8Num23z0"/>
    <w:qFormat/>
    <w:uiPriority w:val="0"/>
  </w:style>
  <w:style w:type="character" w:customStyle="1" w:styleId="334">
    <w:name w:val="Fonte parág. padrão1"/>
    <w:qFormat/>
    <w:uiPriority w:val="0"/>
  </w:style>
  <w:style w:type="character" w:customStyle="1" w:styleId="335">
    <w:name w:val="Bullet Symbols"/>
    <w:qFormat/>
    <w:uiPriority w:val="0"/>
    <w:rPr>
      <w:rFonts w:ascii="OpenSymbol" w:hAnsi="OpenSymbol" w:cs="OpenSymbol"/>
    </w:rPr>
  </w:style>
  <w:style w:type="character" w:customStyle="1" w:styleId="336">
    <w:name w:val="Texto de balão Char1"/>
    <w:basedOn w:val="250"/>
    <w:qFormat/>
    <w:uiPriority w:val="0"/>
    <w:rPr>
      <w:rFonts w:ascii="Segoe UI" w:hAnsi="Segoe UI" w:cs="Segoe UI"/>
      <w:sz w:val="18"/>
      <w:szCs w:val="16"/>
    </w:rPr>
  </w:style>
  <w:style w:type="character" w:customStyle="1" w:styleId="337">
    <w:name w:val="ListLabel 19"/>
    <w:qFormat/>
    <w:uiPriority w:val="0"/>
  </w:style>
  <w:style w:type="character" w:customStyle="1" w:styleId="338">
    <w:name w:val="ListLabel 20"/>
    <w:qFormat/>
    <w:uiPriority w:val="0"/>
  </w:style>
  <w:style w:type="character" w:customStyle="1" w:styleId="339">
    <w:name w:val="ListLabel 21"/>
    <w:qFormat/>
    <w:uiPriority w:val="0"/>
  </w:style>
  <w:style w:type="character" w:customStyle="1" w:styleId="340">
    <w:name w:val="ListLabel 22"/>
    <w:qFormat/>
    <w:uiPriority w:val="0"/>
  </w:style>
  <w:style w:type="character" w:customStyle="1" w:styleId="341">
    <w:name w:val="ListLabel 23"/>
    <w:qFormat/>
    <w:uiPriority w:val="0"/>
  </w:style>
  <w:style w:type="character" w:customStyle="1" w:styleId="342">
    <w:name w:val="ListLabel 24"/>
    <w:qFormat/>
    <w:uiPriority w:val="0"/>
  </w:style>
  <w:style w:type="character" w:customStyle="1" w:styleId="343">
    <w:name w:val="ListLabel 25"/>
    <w:qFormat/>
    <w:uiPriority w:val="0"/>
  </w:style>
  <w:style w:type="character" w:customStyle="1" w:styleId="344">
    <w:name w:val="ListLabel 26"/>
    <w:qFormat/>
    <w:uiPriority w:val="0"/>
  </w:style>
  <w:style w:type="character" w:customStyle="1" w:styleId="345">
    <w:name w:val="ListLabel 27"/>
    <w:qFormat/>
    <w:uiPriority w:val="0"/>
  </w:style>
  <w:style w:type="character" w:customStyle="1" w:styleId="346">
    <w:name w:val="Visited Internet Link"/>
    <w:basedOn w:val="250"/>
    <w:qFormat/>
    <w:uiPriority w:val="0"/>
    <w:rPr>
      <w:color w:val="954F72"/>
      <w:u w:val="single"/>
    </w:rPr>
  </w:style>
  <w:style w:type="character" w:customStyle="1" w:styleId="347">
    <w:name w:val="Strong Emphasis"/>
    <w:qFormat/>
    <w:uiPriority w:val="0"/>
    <w:rPr>
      <w:b/>
    </w:rPr>
  </w:style>
  <w:style w:type="character" w:customStyle="1" w:styleId="348">
    <w:name w:val="Numbering Symbols"/>
    <w:qFormat/>
    <w:uiPriority w:val="0"/>
  </w:style>
  <w:style w:type="character" w:customStyle="1" w:styleId="349">
    <w:name w:val="ListLabel 28"/>
    <w:qFormat/>
    <w:uiPriority w:val="0"/>
  </w:style>
  <w:style w:type="character" w:customStyle="1" w:styleId="350">
    <w:name w:val="ListLabel 29"/>
    <w:qFormat/>
    <w:uiPriority w:val="0"/>
  </w:style>
  <w:style w:type="character" w:customStyle="1" w:styleId="351">
    <w:name w:val="ListLabel 30"/>
    <w:qFormat/>
    <w:uiPriority w:val="0"/>
  </w:style>
  <w:style w:type="character" w:customStyle="1" w:styleId="352">
    <w:name w:val="ListLabel 31"/>
    <w:qFormat/>
    <w:uiPriority w:val="0"/>
  </w:style>
  <w:style w:type="character" w:customStyle="1" w:styleId="353">
    <w:name w:val="ListLabel 32"/>
    <w:qFormat/>
    <w:uiPriority w:val="0"/>
  </w:style>
  <w:style w:type="character" w:customStyle="1" w:styleId="354">
    <w:name w:val="ListLabel 280"/>
    <w:qFormat/>
    <w:uiPriority w:val="0"/>
  </w:style>
  <w:style w:type="character" w:customStyle="1" w:styleId="355">
    <w:name w:val="ListLabel 281"/>
    <w:qFormat/>
    <w:uiPriority w:val="0"/>
  </w:style>
  <w:style w:type="character" w:customStyle="1" w:styleId="356">
    <w:name w:val="ListLabel 282"/>
    <w:qFormat/>
    <w:uiPriority w:val="0"/>
  </w:style>
  <w:style w:type="character" w:customStyle="1" w:styleId="357">
    <w:name w:val="ListLabel 283"/>
    <w:qFormat/>
    <w:uiPriority w:val="0"/>
  </w:style>
  <w:style w:type="character" w:customStyle="1" w:styleId="358">
    <w:name w:val="ListLabel 284"/>
    <w:qFormat/>
    <w:uiPriority w:val="0"/>
  </w:style>
  <w:style w:type="character" w:customStyle="1" w:styleId="359">
    <w:name w:val="ListLabel 285"/>
    <w:qFormat/>
    <w:uiPriority w:val="0"/>
  </w:style>
  <w:style w:type="character" w:customStyle="1" w:styleId="360">
    <w:name w:val="ListLabel 286"/>
    <w:qFormat/>
    <w:uiPriority w:val="0"/>
  </w:style>
  <w:style w:type="character" w:customStyle="1" w:styleId="361">
    <w:name w:val="ListLabel 287"/>
    <w:qFormat/>
    <w:uiPriority w:val="0"/>
  </w:style>
  <w:style w:type="character" w:customStyle="1" w:styleId="362">
    <w:name w:val="ListLabel 288"/>
    <w:qFormat/>
    <w:uiPriority w:val="0"/>
  </w:style>
  <w:style w:type="character" w:customStyle="1" w:styleId="363">
    <w:name w:val="ListLabel 181"/>
    <w:qFormat/>
    <w:uiPriority w:val="0"/>
  </w:style>
  <w:style w:type="character" w:customStyle="1" w:styleId="364">
    <w:name w:val="ListLabel 182"/>
    <w:qFormat/>
    <w:uiPriority w:val="0"/>
  </w:style>
  <w:style w:type="character" w:customStyle="1" w:styleId="365">
    <w:name w:val="ListLabel 183"/>
    <w:qFormat/>
    <w:uiPriority w:val="0"/>
  </w:style>
  <w:style w:type="character" w:customStyle="1" w:styleId="366">
    <w:name w:val="ListLabel 184"/>
    <w:qFormat/>
    <w:uiPriority w:val="0"/>
  </w:style>
  <w:style w:type="character" w:customStyle="1" w:styleId="367">
    <w:name w:val="ListLabel 185"/>
    <w:qFormat/>
    <w:uiPriority w:val="0"/>
  </w:style>
  <w:style w:type="character" w:customStyle="1" w:styleId="368">
    <w:name w:val="ListLabel 186"/>
    <w:qFormat/>
    <w:uiPriority w:val="0"/>
  </w:style>
  <w:style w:type="character" w:customStyle="1" w:styleId="369">
    <w:name w:val="ListLabel 187"/>
    <w:qFormat/>
    <w:uiPriority w:val="0"/>
  </w:style>
  <w:style w:type="character" w:customStyle="1" w:styleId="370">
    <w:name w:val="ListLabel 188"/>
    <w:qFormat/>
    <w:uiPriority w:val="0"/>
  </w:style>
  <w:style w:type="character" w:customStyle="1" w:styleId="371">
    <w:name w:val="ListLabel 189"/>
    <w:qFormat/>
    <w:uiPriority w:val="0"/>
  </w:style>
  <w:style w:type="character" w:customStyle="1" w:styleId="372">
    <w:name w:val="WW_CharLFO3LVL1"/>
    <w:qFormat/>
    <w:uiPriority w:val="0"/>
    <w:rPr>
      <w:rFonts w:ascii="Symbol" w:hAnsi="Symbol" w:cs="Symbol"/>
    </w:rPr>
  </w:style>
  <w:style w:type="character" w:customStyle="1" w:styleId="373">
    <w:name w:val="WW_CharLFO3LVL2"/>
    <w:qFormat/>
    <w:uiPriority w:val="0"/>
    <w:rPr>
      <w:rFonts w:ascii="Courier New" w:hAnsi="Courier New" w:cs="Courier New"/>
    </w:rPr>
  </w:style>
  <w:style w:type="character" w:customStyle="1" w:styleId="374">
    <w:name w:val="WW_CharLFO3LVL3"/>
    <w:qFormat/>
    <w:uiPriority w:val="0"/>
    <w:rPr>
      <w:rFonts w:ascii="Wingdings" w:hAnsi="Wingdings" w:cs="Wingdings"/>
    </w:rPr>
  </w:style>
  <w:style w:type="character" w:customStyle="1" w:styleId="375">
    <w:name w:val="WW_CharLFO3LVL4"/>
    <w:qFormat/>
    <w:uiPriority w:val="0"/>
    <w:rPr>
      <w:rFonts w:ascii="Symbol" w:hAnsi="Symbol" w:cs="Symbol"/>
    </w:rPr>
  </w:style>
  <w:style w:type="character" w:customStyle="1" w:styleId="376">
    <w:name w:val="WW_CharLFO3LVL5"/>
    <w:qFormat/>
    <w:uiPriority w:val="0"/>
    <w:rPr>
      <w:rFonts w:ascii="Courier New" w:hAnsi="Courier New" w:cs="Courier New"/>
    </w:rPr>
  </w:style>
  <w:style w:type="character" w:customStyle="1" w:styleId="377">
    <w:name w:val="WW_CharLFO3LVL6"/>
    <w:qFormat/>
    <w:uiPriority w:val="0"/>
    <w:rPr>
      <w:rFonts w:ascii="Wingdings" w:hAnsi="Wingdings" w:cs="Wingdings"/>
    </w:rPr>
  </w:style>
  <w:style w:type="character" w:customStyle="1" w:styleId="378">
    <w:name w:val="WW_CharLFO3LVL7"/>
    <w:qFormat/>
    <w:uiPriority w:val="0"/>
    <w:rPr>
      <w:rFonts w:ascii="Symbol" w:hAnsi="Symbol" w:cs="Symbol"/>
    </w:rPr>
  </w:style>
  <w:style w:type="character" w:customStyle="1" w:styleId="379">
    <w:name w:val="WW_CharLFO3LVL8"/>
    <w:qFormat/>
    <w:uiPriority w:val="0"/>
    <w:rPr>
      <w:rFonts w:ascii="Courier New" w:hAnsi="Courier New" w:cs="Courier New"/>
    </w:rPr>
  </w:style>
  <w:style w:type="character" w:customStyle="1" w:styleId="380">
    <w:name w:val="WW_CharLFO3LVL9"/>
    <w:qFormat/>
    <w:uiPriority w:val="0"/>
    <w:rPr>
      <w:rFonts w:ascii="Wingdings" w:hAnsi="Wingdings" w:cs="Wingdings"/>
    </w:rPr>
  </w:style>
  <w:style w:type="character" w:customStyle="1" w:styleId="381">
    <w:name w:val="WW_CharLFO4LVL1"/>
    <w:qFormat/>
    <w:uiPriority w:val="0"/>
    <w:rPr>
      <w:rFonts w:ascii="Wingdings" w:hAnsi="Wingdings" w:cs="Wingdings"/>
    </w:rPr>
  </w:style>
  <w:style w:type="character" w:customStyle="1" w:styleId="382">
    <w:name w:val="WW_CharLFO6LVL1"/>
    <w:qFormat/>
    <w:uiPriority w:val="0"/>
    <w:rPr>
      <w:rFonts w:ascii="Symbol" w:hAnsi="Symbol" w:cs="Symbol"/>
    </w:rPr>
  </w:style>
  <w:style w:type="character" w:customStyle="1" w:styleId="383">
    <w:name w:val="WW_CharLFO6LVL2"/>
    <w:qFormat/>
    <w:uiPriority w:val="0"/>
    <w:rPr>
      <w:rFonts w:ascii="OpenSymbol" w:hAnsi="OpenSymbol" w:cs="OpenSymbol"/>
    </w:rPr>
  </w:style>
  <w:style w:type="character" w:customStyle="1" w:styleId="384">
    <w:name w:val="WW_CharLFO6LVL3"/>
    <w:qFormat/>
    <w:uiPriority w:val="0"/>
    <w:rPr>
      <w:rFonts w:ascii="OpenSymbol" w:hAnsi="OpenSymbol" w:cs="OpenSymbol"/>
    </w:rPr>
  </w:style>
  <w:style w:type="character" w:customStyle="1" w:styleId="385">
    <w:name w:val="WW_CharLFO6LVL4"/>
    <w:qFormat/>
    <w:uiPriority w:val="0"/>
    <w:rPr>
      <w:rFonts w:ascii="Symbol" w:hAnsi="Symbol" w:cs="Symbol"/>
    </w:rPr>
  </w:style>
  <w:style w:type="character" w:customStyle="1" w:styleId="386">
    <w:name w:val="WW_CharLFO6LVL5"/>
    <w:qFormat/>
    <w:uiPriority w:val="0"/>
    <w:rPr>
      <w:rFonts w:ascii="OpenSymbol" w:hAnsi="OpenSymbol" w:cs="OpenSymbol"/>
    </w:rPr>
  </w:style>
  <w:style w:type="character" w:customStyle="1" w:styleId="387">
    <w:name w:val="WW_CharLFO6LVL6"/>
    <w:qFormat/>
    <w:uiPriority w:val="0"/>
    <w:rPr>
      <w:rFonts w:ascii="OpenSymbol" w:hAnsi="OpenSymbol" w:cs="OpenSymbol"/>
    </w:rPr>
  </w:style>
  <w:style w:type="character" w:customStyle="1" w:styleId="388">
    <w:name w:val="WW_CharLFO6LVL7"/>
    <w:qFormat/>
    <w:uiPriority w:val="0"/>
    <w:rPr>
      <w:rFonts w:ascii="Symbol" w:hAnsi="Symbol" w:cs="Symbol"/>
    </w:rPr>
  </w:style>
  <w:style w:type="character" w:customStyle="1" w:styleId="389">
    <w:name w:val="WW_CharLFO6LVL8"/>
    <w:qFormat/>
    <w:uiPriority w:val="0"/>
    <w:rPr>
      <w:rFonts w:ascii="OpenSymbol" w:hAnsi="OpenSymbol" w:cs="OpenSymbol"/>
    </w:rPr>
  </w:style>
  <w:style w:type="character" w:customStyle="1" w:styleId="390">
    <w:name w:val="WW_CharLFO6LVL9"/>
    <w:qFormat/>
    <w:uiPriority w:val="0"/>
    <w:rPr>
      <w:rFonts w:ascii="OpenSymbol" w:hAnsi="OpenSymbol" w:cs="OpenSymbol"/>
    </w:rPr>
  </w:style>
  <w:style w:type="character" w:customStyle="1" w:styleId="391">
    <w:name w:val="WW_CharLFO7LVL1"/>
    <w:qFormat/>
    <w:uiPriority w:val="0"/>
    <w:rPr>
      <w:rFonts w:ascii="Symbol" w:hAnsi="Symbol" w:cs="Symbol"/>
    </w:rPr>
  </w:style>
  <w:style w:type="character" w:customStyle="1" w:styleId="392">
    <w:name w:val="WW_CharLFO7LVL2"/>
    <w:qFormat/>
    <w:uiPriority w:val="0"/>
    <w:rPr>
      <w:rFonts w:ascii="Courier New" w:hAnsi="Courier New" w:cs="Courier New"/>
    </w:rPr>
  </w:style>
  <w:style w:type="character" w:customStyle="1" w:styleId="393">
    <w:name w:val="WW_CharLFO7LVL3"/>
    <w:qFormat/>
    <w:uiPriority w:val="0"/>
    <w:rPr>
      <w:rFonts w:ascii="Wingdings" w:hAnsi="Wingdings" w:cs="Wingdings"/>
    </w:rPr>
  </w:style>
  <w:style w:type="character" w:customStyle="1" w:styleId="394">
    <w:name w:val="WW_CharLFO7LVL4"/>
    <w:qFormat/>
    <w:uiPriority w:val="0"/>
    <w:rPr>
      <w:rFonts w:ascii="Symbol" w:hAnsi="Symbol" w:cs="Symbol"/>
    </w:rPr>
  </w:style>
  <w:style w:type="character" w:customStyle="1" w:styleId="395">
    <w:name w:val="WW_CharLFO7LVL5"/>
    <w:qFormat/>
    <w:uiPriority w:val="0"/>
    <w:rPr>
      <w:rFonts w:ascii="Courier New" w:hAnsi="Courier New" w:cs="Courier New"/>
    </w:rPr>
  </w:style>
  <w:style w:type="character" w:customStyle="1" w:styleId="396">
    <w:name w:val="WW_CharLFO7LVL6"/>
    <w:qFormat/>
    <w:uiPriority w:val="0"/>
    <w:rPr>
      <w:rFonts w:ascii="Wingdings" w:hAnsi="Wingdings" w:cs="Wingdings"/>
    </w:rPr>
  </w:style>
  <w:style w:type="character" w:customStyle="1" w:styleId="397">
    <w:name w:val="WW_CharLFO7LVL7"/>
    <w:qFormat/>
    <w:uiPriority w:val="0"/>
    <w:rPr>
      <w:rFonts w:ascii="Symbol" w:hAnsi="Symbol" w:cs="Symbol"/>
    </w:rPr>
  </w:style>
  <w:style w:type="character" w:customStyle="1" w:styleId="398">
    <w:name w:val="WW_CharLFO7LVL8"/>
    <w:qFormat/>
    <w:uiPriority w:val="0"/>
    <w:rPr>
      <w:rFonts w:ascii="Courier New" w:hAnsi="Courier New" w:cs="Courier New"/>
    </w:rPr>
  </w:style>
  <w:style w:type="character" w:customStyle="1" w:styleId="399">
    <w:name w:val="WW_CharLFO7LVL9"/>
    <w:qFormat/>
    <w:uiPriority w:val="0"/>
    <w:rPr>
      <w:rFonts w:ascii="Wingdings" w:hAnsi="Wingdings" w:cs="Wingdings"/>
    </w:rPr>
  </w:style>
  <w:style w:type="character" w:customStyle="1" w:styleId="400">
    <w:name w:val="WW_CharLFO13LVL1"/>
    <w:qFormat/>
    <w:uiPriority w:val="0"/>
  </w:style>
  <w:style w:type="character" w:customStyle="1" w:styleId="401">
    <w:name w:val="T1"/>
    <w:qFormat/>
    <w:uiPriority w:val="0"/>
  </w:style>
  <w:style w:type="character" w:customStyle="1" w:styleId="402">
    <w:name w:val="T2"/>
    <w:qFormat/>
    <w:uiPriority w:val="0"/>
  </w:style>
  <w:style w:type="character" w:customStyle="1" w:styleId="403">
    <w:name w:val="T3"/>
    <w:qFormat/>
    <w:uiPriority w:val="0"/>
  </w:style>
  <w:style w:type="character" w:customStyle="1" w:styleId="404">
    <w:name w:val="T4"/>
    <w:qFormat/>
    <w:uiPriority w:val="0"/>
  </w:style>
  <w:style w:type="character" w:customStyle="1" w:styleId="405">
    <w:name w:val="T5"/>
    <w:qFormat/>
    <w:uiPriority w:val="0"/>
  </w:style>
  <w:style w:type="character" w:customStyle="1" w:styleId="406">
    <w:name w:val="T6"/>
    <w:qFormat/>
    <w:uiPriority w:val="0"/>
  </w:style>
  <w:style w:type="character" w:customStyle="1" w:styleId="407">
    <w:name w:val="T7"/>
    <w:qFormat/>
    <w:uiPriority w:val="0"/>
  </w:style>
  <w:style w:type="character" w:customStyle="1" w:styleId="408">
    <w:name w:val="T8"/>
    <w:qFormat/>
    <w:uiPriority w:val="0"/>
  </w:style>
  <w:style w:type="character" w:customStyle="1" w:styleId="409">
    <w:name w:val="T9"/>
    <w:qFormat/>
    <w:uiPriority w:val="0"/>
  </w:style>
  <w:style w:type="character" w:customStyle="1" w:styleId="410">
    <w:name w:val="T10"/>
    <w:qFormat/>
    <w:uiPriority w:val="0"/>
  </w:style>
  <w:style w:type="character" w:customStyle="1" w:styleId="411">
    <w:name w:val="T11"/>
    <w:qFormat/>
    <w:uiPriority w:val="0"/>
  </w:style>
  <w:style w:type="character" w:customStyle="1" w:styleId="412">
    <w:name w:val="T12"/>
    <w:qFormat/>
    <w:uiPriority w:val="0"/>
  </w:style>
  <w:style w:type="character" w:customStyle="1" w:styleId="413">
    <w:name w:val="T13"/>
    <w:qFormat/>
    <w:uiPriority w:val="0"/>
  </w:style>
  <w:style w:type="character" w:customStyle="1" w:styleId="414">
    <w:name w:val="T14"/>
    <w:qFormat/>
    <w:uiPriority w:val="0"/>
  </w:style>
  <w:style w:type="character" w:customStyle="1" w:styleId="415">
    <w:name w:val="T15"/>
    <w:qFormat/>
    <w:uiPriority w:val="0"/>
  </w:style>
  <w:style w:type="character" w:customStyle="1" w:styleId="416">
    <w:name w:val="T16"/>
    <w:qFormat/>
    <w:uiPriority w:val="0"/>
  </w:style>
  <w:style w:type="character" w:customStyle="1" w:styleId="417">
    <w:name w:val="T17"/>
    <w:qFormat/>
    <w:uiPriority w:val="0"/>
  </w:style>
  <w:style w:type="character" w:customStyle="1" w:styleId="418">
    <w:name w:val="T18"/>
    <w:qFormat/>
    <w:uiPriority w:val="0"/>
  </w:style>
  <w:style w:type="character" w:customStyle="1" w:styleId="419">
    <w:name w:val="T19"/>
    <w:qFormat/>
    <w:uiPriority w:val="0"/>
    <w:rPr>
      <w:rFonts w:ascii="Symbol" w:hAnsi="Symbol" w:cs="Symbol"/>
    </w:rPr>
  </w:style>
  <w:style w:type="character" w:customStyle="1" w:styleId="420">
    <w:name w:val="T20"/>
    <w:qFormat/>
    <w:uiPriority w:val="0"/>
    <w:rPr>
      <w:rFonts w:ascii="Courier New" w:hAnsi="Courier New" w:cs="Courier New"/>
    </w:rPr>
  </w:style>
  <w:style w:type="character" w:customStyle="1" w:styleId="421">
    <w:name w:val="T21"/>
    <w:qFormat/>
    <w:uiPriority w:val="0"/>
    <w:rPr>
      <w:rFonts w:ascii="Wingdings" w:hAnsi="Wingdings" w:cs="Wingdings"/>
    </w:rPr>
  </w:style>
  <w:style w:type="character" w:customStyle="1" w:styleId="422">
    <w:name w:val="T22"/>
    <w:qFormat/>
    <w:uiPriority w:val="0"/>
    <w:rPr>
      <w:rFonts w:ascii="Symbol" w:hAnsi="Symbol" w:cs="Symbol"/>
    </w:rPr>
  </w:style>
  <w:style w:type="character" w:customStyle="1" w:styleId="423">
    <w:name w:val="T23"/>
    <w:qFormat/>
    <w:uiPriority w:val="0"/>
    <w:rPr>
      <w:rFonts w:ascii="Courier New" w:hAnsi="Courier New" w:cs="Courier New"/>
    </w:rPr>
  </w:style>
  <w:style w:type="character" w:customStyle="1" w:styleId="424">
    <w:name w:val="T24"/>
    <w:qFormat/>
    <w:uiPriority w:val="0"/>
    <w:rPr>
      <w:rFonts w:ascii="Wingdings" w:hAnsi="Wingdings" w:cs="Wingdings"/>
    </w:rPr>
  </w:style>
  <w:style w:type="character" w:customStyle="1" w:styleId="425">
    <w:name w:val="T25"/>
    <w:qFormat/>
    <w:uiPriority w:val="0"/>
    <w:rPr>
      <w:rFonts w:ascii="Symbol" w:hAnsi="Symbol" w:cs="Symbol"/>
    </w:rPr>
  </w:style>
  <w:style w:type="character" w:customStyle="1" w:styleId="426">
    <w:name w:val="T26"/>
    <w:qFormat/>
    <w:uiPriority w:val="0"/>
    <w:rPr>
      <w:rFonts w:ascii="Courier New" w:hAnsi="Courier New" w:cs="Courier New"/>
    </w:rPr>
  </w:style>
  <w:style w:type="character" w:customStyle="1" w:styleId="427">
    <w:name w:val="T27"/>
    <w:qFormat/>
    <w:uiPriority w:val="0"/>
    <w:rPr>
      <w:rFonts w:ascii="Wingdings" w:hAnsi="Wingdings" w:cs="Wingdings"/>
    </w:rPr>
  </w:style>
  <w:style w:type="character" w:customStyle="1" w:styleId="428">
    <w:name w:val="T28"/>
    <w:qFormat/>
    <w:uiPriority w:val="0"/>
    <w:rPr>
      <w:rFonts w:ascii="Wingdings" w:hAnsi="Wingdings" w:cs="Wingdings"/>
    </w:rPr>
  </w:style>
  <w:style w:type="character" w:customStyle="1" w:styleId="429">
    <w:name w:val="T29"/>
    <w:qFormat/>
    <w:uiPriority w:val="0"/>
  </w:style>
  <w:style w:type="character" w:customStyle="1" w:styleId="430">
    <w:name w:val="T30"/>
    <w:qFormat/>
    <w:uiPriority w:val="0"/>
  </w:style>
  <w:style w:type="character" w:customStyle="1" w:styleId="431">
    <w:name w:val="T31"/>
    <w:qFormat/>
    <w:uiPriority w:val="0"/>
  </w:style>
  <w:style w:type="character" w:customStyle="1" w:styleId="432">
    <w:name w:val="T32"/>
    <w:qFormat/>
    <w:uiPriority w:val="0"/>
  </w:style>
  <w:style w:type="character" w:customStyle="1" w:styleId="433">
    <w:name w:val="T33"/>
    <w:qFormat/>
    <w:uiPriority w:val="0"/>
  </w:style>
  <w:style w:type="character" w:customStyle="1" w:styleId="434">
    <w:name w:val="T34"/>
    <w:qFormat/>
    <w:uiPriority w:val="0"/>
  </w:style>
  <w:style w:type="character" w:customStyle="1" w:styleId="435">
    <w:name w:val="T35"/>
    <w:qFormat/>
    <w:uiPriority w:val="0"/>
  </w:style>
  <w:style w:type="character" w:customStyle="1" w:styleId="436">
    <w:name w:val="T36"/>
    <w:qFormat/>
    <w:uiPriority w:val="0"/>
  </w:style>
  <w:style w:type="character" w:customStyle="1" w:styleId="437">
    <w:name w:val="T37"/>
    <w:qFormat/>
    <w:uiPriority w:val="0"/>
  </w:style>
  <w:style w:type="character" w:customStyle="1" w:styleId="438">
    <w:name w:val="T38"/>
    <w:qFormat/>
    <w:uiPriority w:val="0"/>
  </w:style>
  <w:style w:type="character" w:customStyle="1" w:styleId="439">
    <w:name w:val="T39"/>
    <w:qFormat/>
    <w:uiPriority w:val="0"/>
  </w:style>
  <w:style w:type="character" w:customStyle="1" w:styleId="440">
    <w:name w:val="T40"/>
    <w:qFormat/>
    <w:uiPriority w:val="0"/>
  </w:style>
  <w:style w:type="character" w:customStyle="1" w:styleId="441">
    <w:name w:val="T41"/>
    <w:qFormat/>
    <w:uiPriority w:val="0"/>
  </w:style>
  <w:style w:type="character" w:customStyle="1" w:styleId="442">
    <w:name w:val="T42"/>
    <w:qFormat/>
    <w:uiPriority w:val="0"/>
  </w:style>
  <w:style w:type="character" w:customStyle="1" w:styleId="443">
    <w:name w:val="T43"/>
    <w:qFormat/>
    <w:uiPriority w:val="0"/>
  </w:style>
  <w:style w:type="character" w:customStyle="1" w:styleId="444">
    <w:name w:val="T44"/>
    <w:qFormat/>
    <w:uiPriority w:val="0"/>
  </w:style>
  <w:style w:type="character" w:customStyle="1" w:styleId="445">
    <w:name w:val="T45"/>
    <w:qFormat/>
    <w:uiPriority w:val="0"/>
  </w:style>
  <w:style w:type="character" w:customStyle="1" w:styleId="446">
    <w:name w:val="T46"/>
    <w:qFormat/>
    <w:uiPriority w:val="0"/>
    <w:rPr>
      <w:rFonts w:ascii="Symbol" w:hAnsi="Symbol" w:cs="Symbol"/>
    </w:rPr>
  </w:style>
  <w:style w:type="character" w:customStyle="1" w:styleId="447">
    <w:name w:val="T47"/>
    <w:qFormat/>
    <w:uiPriority w:val="0"/>
    <w:rPr>
      <w:rFonts w:ascii="OpenSymbol" w:hAnsi="OpenSymbol" w:cs="OpenSymbol"/>
    </w:rPr>
  </w:style>
  <w:style w:type="character" w:customStyle="1" w:styleId="448">
    <w:name w:val="T48"/>
    <w:qFormat/>
    <w:uiPriority w:val="0"/>
    <w:rPr>
      <w:rFonts w:ascii="OpenSymbol" w:hAnsi="OpenSymbol" w:cs="OpenSymbol"/>
    </w:rPr>
  </w:style>
  <w:style w:type="character" w:customStyle="1" w:styleId="449">
    <w:name w:val="T49"/>
    <w:qFormat/>
    <w:uiPriority w:val="0"/>
    <w:rPr>
      <w:rFonts w:ascii="Symbol" w:hAnsi="Symbol" w:cs="Symbol"/>
    </w:rPr>
  </w:style>
  <w:style w:type="character" w:customStyle="1" w:styleId="450">
    <w:name w:val="T50"/>
    <w:qFormat/>
    <w:uiPriority w:val="0"/>
    <w:rPr>
      <w:rFonts w:ascii="OpenSymbol" w:hAnsi="OpenSymbol" w:cs="OpenSymbol"/>
    </w:rPr>
  </w:style>
  <w:style w:type="character" w:customStyle="1" w:styleId="451">
    <w:name w:val="T51"/>
    <w:qFormat/>
    <w:uiPriority w:val="0"/>
    <w:rPr>
      <w:rFonts w:ascii="OpenSymbol" w:hAnsi="OpenSymbol" w:cs="OpenSymbol"/>
    </w:rPr>
  </w:style>
  <w:style w:type="character" w:customStyle="1" w:styleId="452">
    <w:name w:val="T52"/>
    <w:qFormat/>
    <w:uiPriority w:val="0"/>
    <w:rPr>
      <w:rFonts w:ascii="Symbol" w:hAnsi="Symbol" w:cs="Symbol"/>
    </w:rPr>
  </w:style>
  <w:style w:type="character" w:customStyle="1" w:styleId="453">
    <w:name w:val="T53"/>
    <w:qFormat/>
    <w:uiPriority w:val="0"/>
    <w:rPr>
      <w:rFonts w:ascii="OpenSymbol" w:hAnsi="OpenSymbol" w:cs="OpenSymbol"/>
    </w:rPr>
  </w:style>
  <w:style w:type="character" w:customStyle="1" w:styleId="454">
    <w:name w:val="T54"/>
    <w:qFormat/>
    <w:uiPriority w:val="0"/>
    <w:rPr>
      <w:rFonts w:ascii="OpenSymbol" w:hAnsi="OpenSymbol" w:cs="OpenSymbol"/>
    </w:rPr>
  </w:style>
  <w:style w:type="character" w:customStyle="1" w:styleId="455">
    <w:name w:val="T55"/>
    <w:qFormat/>
    <w:uiPriority w:val="0"/>
    <w:rPr>
      <w:rFonts w:ascii="Symbol" w:hAnsi="Symbol" w:cs="Symbol"/>
    </w:rPr>
  </w:style>
  <w:style w:type="character" w:customStyle="1" w:styleId="456">
    <w:name w:val="T56"/>
    <w:qFormat/>
    <w:uiPriority w:val="0"/>
    <w:rPr>
      <w:rFonts w:ascii="Courier New" w:hAnsi="Courier New" w:cs="Courier New"/>
    </w:rPr>
  </w:style>
  <w:style w:type="character" w:customStyle="1" w:styleId="457">
    <w:name w:val="T57"/>
    <w:qFormat/>
    <w:uiPriority w:val="0"/>
    <w:rPr>
      <w:rFonts w:ascii="Wingdings" w:hAnsi="Wingdings" w:cs="Wingdings"/>
    </w:rPr>
  </w:style>
  <w:style w:type="character" w:customStyle="1" w:styleId="458">
    <w:name w:val="T58"/>
    <w:qFormat/>
    <w:uiPriority w:val="0"/>
    <w:rPr>
      <w:rFonts w:ascii="Symbol" w:hAnsi="Symbol" w:cs="Symbol"/>
    </w:rPr>
  </w:style>
  <w:style w:type="character" w:customStyle="1" w:styleId="459">
    <w:name w:val="T59"/>
    <w:qFormat/>
    <w:uiPriority w:val="0"/>
    <w:rPr>
      <w:rFonts w:ascii="Courier New" w:hAnsi="Courier New" w:cs="Courier New"/>
    </w:rPr>
  </w:style>
  <w:style w:type="character" w:customStyle="1" w:styleId="460">
    <w:name w:val="T60"/>
    <w:qFormat/>
    <w:uiPriority w:val="0"/>
    <w:rPr>
      <w:rFonts w:ascii="Wingdings" w:hAnsi="Wingdings" w:cs="Wingdings"/>
    </w:rPr>
  </w:style>
  <w:style w:type="character" w:customStyle="1" w:styleId="461">
    <w:name w:val="T61"/>
    <w:qFormat/>
    <w:uiPriority w:val="0"/>
    <w:rPr>
      <w:rFonts w:ascii="Symbol" w:hAnsi="Symbol" w:cs="Symbol"/>
    </w:rPr>
  </w:style>
  <w:style w:type="character" w:customStyle="1" w:styleId="462">
    <w:name w:val="T62"/>
    <w:qFormat/>
    <w:uiPriority w:val="0"/>
    <w:rPr>
      <w:rFonts w:ascii="Courier New" w:hAnsi="Courier New" w:cs="Courier New"/>
    </w:rPr>
  </w:style>
  <w:style w:type="character" w:customStyle="1" w:styleId="463">
    <w:name w:val="T63"/>
    <w:qFormat/>
    <w:uiPriority w:val="0"/>
    <w:rPr>
      <w:rFonts w:ascii="Wingdings" w:hAnsi="Wingdings" w:cs="Wingdings"/>
    </w:rPr>
  </w:style>
  <w:style w:type="character" w:customStyle="1" w:styleId="464">
    <w:name w:val="T64"/>
    <w:qFormat/>
    <w:uiPriority w:val="0"/>
  </w:style>
  <w:style w:type="character" w:customStyle="1" w:styleId="465">
    <w:name w:val="T65"/>
    <w:qFormat/>
    <w:uiPriority w:val="0"/>
  </w:style>
  <w:style w:type="character" w:customStyle="1" w:styleId="466">
    <w:name w:val="T66"/>
    <w:qFormat/>
    <w:uiPriority w:val="0"/>
  </w:style>
  <w:style w:type="character" w:customStyle="1" w:styleId="467">
    <w:name w:val="T67"/>
    <w:qFormat/>
    <w:uiPriority w:val="0"/>
  </w:style>
  <w:style w:type="character" w:customStyle="1" w:styleId="468">
    <w:name w:val="T68"/>
    <w:qFormat/>
    <w:uiPriority w:val="0"/>
  </w:style>
  <w:style w:type="character" w:customStyle="1" w:styleId="469">
    <w:name w:val="T69"/>
    <w:qFormat/>
    <w:uiPriority w:val="0"/>
  </w:style>
  <w:style w:type="character" w:customStyle="1" w:styleId="470">
    <w:name w:val="T70"/>
    <w:qFormat/>
    <w:uiPriority w:val="0"/>
  </w:style>
  <w:style w:type="character" w:customStyle="1" w:styleId="471">
    <w:name w:val="T71"/>
    <w:qFormat/>
    <w:uiPriority w:val="0"/>
  </w:style>
  <w:style w:type="character" w:customStyle="1" w:styleId="472">
    <w:name w:val="T72"/>
    <w:qFormat/>
    <w:uiPriority w:val="0"/>
  </w:style>
  <w:style w:type="character" w:customStyle="1" w:styleId="473">
    <w:name w:val="T73"/>
    <w:qFormat/>
    <w:uiPriority w:val="0"/>
  </w:style>
  <w:style w:type="character" w:customStyle="1" w:styleId="474">
    <w:name w:val="T74"/>
    <w:qFormat/>
    <w:uiPriority w:val="0"/>
  </w:style>
  <w:style w:type="character" w:customStyle="1" w:styleId="475">
    <w:name w:val="T75"/>
    <w:qFormat/>
    <w:uiPriority w:val="0"/>
  </w:style>
  <w:style w:type="character" w:customStyle="1" w:styleId="476">
    <w:name w:val="T76"/>
    <w:qFormat/>
    <w:uiPriority w:val="0"/>
  </w:style>
  <w:style w:type="character" w:customStyle="1" w:styleId="477">
    <w:name w:val="T77"/>
    <w:qFormat/>
    <w:uiPriority w:val="0"/>
  </w:style>
  <w:style w:type="character" w:customStyle="1" w:styleId="478">
    <w:name w:val="T78"/>
    <w:qFormat/>
    <w:uiPriority w:val="0"/>
  </w:style>
  <w:style w:type="character" w:customStyle="1" w:styleId="479">
    <w:name w:val="T79"/>
    <w:qFormat/>
    <w:uiPriority w:val="0"/>
  </w:style>
  <w:style w:type="character" w:customStyle="1" w:styleId="480">
    <w:name w:val="T80"/>
    <w:qFormat/>
    <w:uiPriority w:val="0"/>
  </w:style>
  <w:style w:type="character" w:customStyle="1" w:styleId="481">
    <w:name w:val="T81"/>
    <w:qFormat/>
    <w:uiPriority w:val="0"/>
  </w:style>
  <w:style w:type="character" w:customStyle="1" w:styleId="482">
    <w:name w:val="T82"/>
    <w:qFormat/>
    <w:uiPriority w:val="0"/>
  </w:style>
  <w:style w:type="character" w:customStyle="1" w:styleId="483">
    <w:name w:val="T83"/>
    <w:qFormat/>
    <w:uiPriority w:val="0"/>
  </w:style>
  <w:style w:type="character" w:customStyle="1" w:styleId="484">
    <w:name w:val="T84"/>
    <w:qFormat/>
    <w:uiPriority w:val="0"/>
  </w:style>
  <w:style w:type="character" w:customStyle="1" w:styleId="485">
    <w:name w:val="T85"/>
    <w:qFormat/>
    <w:uiPriority w:val="0"/>
  </w:style>
  <w:style w:type="character" w:customStyle="1" w:styleId="486">
    <w:name w:val="T86"/>
    <w:qFormat/>
    <w:uiPriority w:val="0"/>
  </w:style>
  <w:style w:type="character" w:customStyle="1" w:styleId="487">
    <w:name w:val="T87"/>
    <w:qFormat/>
    <w:uiPriority w:val="0"/>
  </w:style>
  <w:style w:type="character" w:customStyle="1" w:styleId="488">
    <w:name w:val="T88"/>
    <w:qFormat/>
    <w:uiPriority w:val="0"/>
  </w:style>
  <w:style w:type="character" w:customStyle="1" w:styleId="489">
    <w:name w:val="T89"/>
    <w:qFormat/>
    <w:uiPriority w:val="0"/>
  </w:style>
  <w:style w:type="character" w:customStyle="1" w:styleId="490">
    <w:name w:val="T90"/>
    <w:qFormat/>
    <w:uiPriority w:val="0"/>
  </w:style>
  <w:style w:type="character" w:customStyle="1" w:styleId="491">
    <w:name w:val="T91"/>
    <w:qFormat/>
    <w:uiPriority w:val="0"/>
  </w:style>
  <w:style w:type="character" w:customStyle="1" w:styleId="492">
    <w:name w:val="T92"/>
    <w:qFormat/>
    <w:uiPriority w:val="0"/>
  </w:style>
  <w:style w:type="character" w:customStyle="1" w:styleId="493">
    <w:name w:val="T93"/>
    <w:qFormat/>
    <w:uiPriority w:val="0"/>
  </w:style>
  <w:style w:type="character" w:customStyle="1" w:styleId="494">
    <w:name w:val="T94"/>
    <w:qFormat/>
    <w:uiPriority w:val="0"/>
  </w:style>
  <w:style w:type="character" w:customStyle="1" w:styleId="495">
    <w:name w:val="T95"/>
    <w:qFormat/>
    <w:uiPriority w:val="0"/>
  </w:style>
  <w:style w:type="character" w:customStyle="1" w:styleId="496">
    <w:name w:val="T96"/>
    <w:qFormat/>
    <w:uiPriority w:val="0"/>
  </w:style>
  <w:style w:type="character" w:customStyle="1" w:styleId="497">
    <w:name w:val="T97"/>
    <w:qFormat/>
    <w:uiPriority w:val="0"/>
  </w:style>
  <w:style w:type="character" w:customStyle="1" w:styleId="498">
    <w:name w:val="T98"/>
    <w:qFormat/>
    <w:uiPriority w:val="0"/>
  </w:style>
  <w:style w:type="character" w:customStyle="1" w:styleId="499">
    <w:name w:val="T99"/>
    <w:qFormat/>
    <w:uiPriority w:val="0"/>
  </w:style>
  <w:style w:type="character" w:customStyle="1" w:styleId="500">
    <w:name w:val="T100"/>
    <w:qFormat/>
    <w:uiPriority w:val="0"/>
  </w:style>
  <w:style w:type="character" w:customStyle="1" w:styleId="501">
    <w:name w:val="T101"/>
    <w:qFormat/>
    <w:uiPriority w:val="0"/>
  </w:style>
  <w:style w:type="character" w:customStyle="1" w:styleId="502">
    <w:name w:val="T102"/>
    <w:qFormat/>
    <w:uiPriority w:val="0"/>
  </w:style>
  <w:style w:type="character" w:customStyle="1" w:styleId="503">
    <w:name w:val="T103"/>
    <w:qFormat/>
    <w:uiPriority w:val="0"/>
  </w:style>
  <w:style w:type="character" w:customStyle="1" w:styleId="504">
    <w:name w:val="T104"/>
    <w:qFormat/>
    <w:uiPriority w:val="0"/>
  </w:style>
  <w:style w:type="character" w:customStyle="1" w:styleId="505">
    <w:name w:val="T105"/>
    <w:qFormat/>
    <w:uiPriority w:val="0"/>
  </w:style>
  <w:style w:type="character" w:customStyle="1" w:styleId="506">
    <w:name w:val="T106"/>
    <w:qFormat/>
    <w:uiPriority w:val="0"/>
  </w:style>
  <w:style w:type="character" w:customStyle="1" w:styleId="507">
    <w:name w:val="T107"/>
    <w:qFormat/>
    <w:uiPriority w:val="0"/>
  </w:style>
  <w:style w:type="character" w:customStyle="1" w:styleId="508">
    <w:name w:val="T108"/>
    <w:qFormat/>
    <w:uiPriority w:val="0"/>
  </w:style>
  <w:style w:type="character" w:customStyle="1" w:styleId="509">
    <w:name w:val="T109"/>
    <w:qFormat/>
    <w:uiPriority w:val="0"/>
  </w:style>
  <w:style w:type="character" w:customStyle="1" w:styleId="510">
    <w:name w:val="T110"/>
    <w:qFormat/>
    <w:uiPriority w:val="0"/>
  </w:style>
  <w:style w:type="character" w:customStyle="1" w:styleId="511">
    <w:name w:val="T111"/>
    <w:qFormat/>
    <w:uiPriority w:val="0"/>
  </w:style>
  <w:style w:type="character" w:customStyle="1" w:styleId="512">
    <w:name w:val="T112"/>
    <w:qFormat/>
    <w:uiPriority w:val="0"/>
  </w:style>
  <w:style w:type="character" w:customStyle="1" w:styleId="513">
    <w:name w:val="T113"/>
    <w:qFormat/>
    <w:uiPriority w:val="0"/>
  </w:style>
  <w:style w:type="character" w:customStyle="1" w:styleId="514">
    <w:name w:val="T114"/>
    <w:qFormat/>
    <w:uiPriority w:val="0"/>
  </w:style>
  <w:style w:type="character" w:customStyle="1" w:styleId="515">
    <w:name w:val="T115"/>
    <w:qFormat/>
    <w:uiPriority w:val="0"/>
  </w:style>
  <w:style w:type="character" w:customStyle="1" w:styleId="516">
    <w:name w:val="T116"/>
    <w:qFormat/>
    <w:uiPriority w:val="0"/>
  </w:style>
  <w:style w:type="character" w:customStyle="1" w:styleId="517">
    <w:name w:val="T117"/>
    <w:qFormat/>
    <w:uiPriority w:val="0"/>
  </w:style>
  <w:style w:type="character" w:customStyle="1" w:styleId="518">
    <w:name w:val="T118"/>
    <w:qFormat/>
    <w:uiPriority w:val="0"/>
  </w:style>
  <w:style w:type="character" w:customStyle="1" w:styleId="519">
    <w:name w:val="T119"/>
    <w:qFormat/>
    <w:uiPriority w:val="0"/>
  </w:style>
  <w:style w:type="character" w:customStyle="1" w:styleId="520">
    <w:name w:val="T120"/>
    <w:qFormat/>
    <w:uiPriority w:val="0"/>
  </w:style>
  <w:style w:type="character" w:customStyle="1" w:styleId="521">
    <w:name w:val="T121"/>
    <w:qFormat/>
    <w:uiPriority w:val="0"/>
  </w:style>
  <w:style w:type="character" w:customStyle="1" w:styleId="522">
    <w:name w:val="T122"/>
    <w:qFormat/>
    <w:uiPriority w:val="0"/>
  </w:style>
  <w:style w:type="character" w:customStyle="1" w:styleId="523">
    <w:name w:val="T123"/>
    <w:qFormat/>
    <w:uiPriority w:val="0"/>
  </w:style>
  <w:style w:type="character" w:customStyle="1" w:styleId="524">
    <w:name w:val="T124"/>
    <w:qFormat/>
    <w:uiPriority w:val="0"/>
  </w:style>
  <w:style w:type="character" w:customStyle="1" w:styleId="525">
    <w:name w:val="T125"/>
    <w:qFormat/>
    <w:uiPriority w:val="0"/>
  </w:style>
  <w:style w:type="character" w:customStyle="1" w:styleId="526">
    <w:name w:val="T126"/>
    <w:qFormat/>
    <w:uiPriority w:val="0"/>
  </w:style>
  <w:style w:type="character" w:customStyle="1" w:styleId="527">
    <w:name w:val="T127"/>
    <w:qFormat/>
    <w:uiPriority w:val="0"/>
  </w:style>
  <w:style w:type="character" w:customStyle="1" w:styleId="528">
    <w:name w:val="T128"/>
    <w:qFormat/>
    <w:uiPriority w:val="0"/>
  </w:style>
  <w:style w:type="character" w:customStyle="1" w:styleId="529">
    <w:name w:val="T129"/>
    <w:qFormat/>
    <w:uiPriority w:val="0"/>
  </w:style>
  <w:style w:type="character" w:customStyle="1" w:styleId="530">
    <w:name w:val="T130"/>
    <w:qFormat/>
    <w:uiPriority w:val="0"/>
  </w:style>
  <w:style w:type="character" w:customStyle="1" w:styleId="531">
    <w:name w:val="T131"/>
    <w:qFormat/>
    <w:uiPriority w:val="0"/>
  </w:style>
  <w:style w:type="character" w:customStyle="1" w:styleId="532">
    <w:name w:val="T132"/>
    <w:qFormat/>
    <w:uiPriority w:val="0"/>
  </w:style>
  <w:style w:type="character" w:customStyle="1" w:styleId="533">
    <w:name w:val="T133"/>
    <w:qFormat/>
    <w:uiPriority w:val="0"/>
  </w:style>
  <w:style w:type="character" w:customStyle="1" w:styleId="534">
    <w:name w:val="T134"/>
    <w:qFormat/>
    <w:uiPriority w:val="0"/>
  </w:style>
  <w:style w:type="character" w:customStyle="1" w:styleId="535">
    <w:name w:val="T135"/>
    <w:qFormat/>
    <w:uiPriority w:val="0"/>
  </w:style>
  <w:style w:type="character" w:customStyle="1" w:styleId="536">
    <w:name w:val="T136"/>
    <w:qFormat/>
    <w:uiPriority w:val="0"/>
  </w:style>
  <w:style w:type="character" w:customStyle="1" w:styleId="537">
    <w:name w:val="T137"/>
    <w:qFormat/>
    <w:uiPriority w:val="0"/>
  </w:style>
  <w:style w:type="character" w:customStyle="1" w:styleId="538">
    <w:name w:val="T138"/>
    <w:qFormat/>
    <w:uiPriority w:val="0"/>
  </w:style>
  <w:style w:type="character" w:customStyle="1" w:styleId="539">
    <w:name w:val="T139"/>
    <w:qFormat/>
    <w:uiPriority w:val="0"/>
  </w:style>
  <w:style w:type="character" w:customStyle="1" w:styleId="540">
    <w:name w:val="T140"/>
    <w:qFormat/>
    <w:uiPriority w:val="0"/>
  </w:style>
  <w:style w:type="character" w:customStyle="1" w:styleId="541">
    <w:name w:val="T141"/>
    <w:qFormat/>
    <w:uiPriority w:val="0"/>
  </w:style>
  <w:style w:type="character" w:customStyle="1" w:styleId="542">
    <w:name w:val="T142"/>
    <w:qFormat/>
    <w:uiPriority w:val="0"/>
  </w:style>
  <w:style w:type="character" w:customStyle="1" w:styleId="543">
    <w:name w:val="T143"/>
    <w:qFormat/>
    <w:uiPriority w:val="0"/>
  </w:style>
  <w:style w:type="character" w:customStyle="1" w:styleId="544">
    <w:name w:val="T144"/>
    <w:qFormat/>
    <w:uiPriority w:val="0"/>
  </w:style>
  <w:style w:type="character" w:customStyle="1" w:styleId="545">
    <w:name w:val="T145"/>
    <w:qFormat/>
    <w:uiPriority w:val="0"/>
  </w:style>
  <w:style w:type="character" w:customStyle="1" w:styleId="546">
    <w:name w:val="T146"/>
    <w:qFormat/>
    <w:uiPriority w:val="0"/>
  </w:style>
  <w:style w:type="character" w:customStyle="1" w:styleId="547">
    <w:name w:val="T147"/>
    <w:qFormat/>
    <w:uiPriority w:val="0"/>
  </w:style>
  <w:style w:type="character" w:customStyle="1" w:styleId="548">
    <w:name w:val="T148"/>
    <w:qFormat/>
    <w:uiPriority w:val="0"/>
  </w:style>
  <w:style w:type="character" w:customStyle="1" w:styleId="549">
    <w:name w:val="T149"/>
    <w:qFormat/>
    <w:uiPriority w:val="0"/>
  </w:style>
  <w:style w:type="character" w:customStyle="1" w:styleId="550">
    <w:name w:val="T150"/>
    <w:qFormat/>
    <w:uiPriority w:val="0"/>
  </w:style>
  <w:style w:type="character" w:customStyle="1" w:styleId="551">
    <w:name w:val="T151"/>
    <w:qFormat/>
    <w:uiPriority w:val="0"/>
  </w:style>
  <w:style w:type="character" w:customStyle="1" w:styleId="552">
    <w:name w:val="T152"/>
    <w:qFormat/>
    <w:uiPriority w:val="0"/>
  </w:style>
  <w:style w:type="character" w:customStyle="1" w:styleId="553">
    <w:name w:val="T153"/>
    <w:qFormat/>
    <w:uiPriority w:val="0"/>
  </w:style>
  <w:style w:type="character" w:customStyle="1" w:styleId="554">
    <w:name w:val="T154"/>
    <w:qFormat/>
    <w:uiPriority w:val="0"/>
  </w:style>
  <w:style w:type="character" w:customStyle="1" w:styleId="555">
    <w:name w:val="T155"/>
    <w:qFormat/>
    <w:uiPriority w:val="0"/>
  </w:style>
  <w:style w:type="character" w:customStyle="1" w:styleId="556">
    <w:name w:val="T156"/>
    <w:qFormat/>
    <w:uiPriority w:val="0"/>
  </w:style>
  <w:style w:type="character" w:customStyle="1" w:styleId="557">
    <w:name w:val="T157"/>
    <w:qFormat/>
    <w:uiPriority w:val="0"/>
  </w:style>
  <w:style w:type="character" w:customStyle="1" w:styleId="558">
    <w:name w:val="T158"/>
    <w:qFormat/>
    <w:uiPriority w:val="0"/>
  </w:style>
  <w:style w:type="character" w:customStyle="1" w:styleId="559">
    <w:name w:val="T159"/>
    <w:qFormat/>
    <w:uiPriority w:val="0"/>
  </w:style>
  <w:style w:type="character" w:customStyle="1" w:styleId="560">
    <w:name w:val="T160"/>
    <w:qFormat/>
    <w:uiPriority w:val="0"/>
  </w:style>
  <w:style w:type="character" w:customStyle="1" w:styleId="561">
    <w:name w:val="T161"/>
    <w:qFormat/>
    <w:uiPriority w:val="0"/>
  </w:style>
  <w:style w:type="character" w:customStyle="1" w:styleId="562">
    <w:name w:val="T162"/>
    <w:qFormat/>
    <w:uiPriority w:val="0"/>
  </w:style>
  <w:style w:type="character" w:customStyle="1" w:styleId="563">
    <w:name w:val="T1631"/>
    <w:qFormat/>
    <w:uiPriority w:val="0"/>
  </w:style>
  <w:style w:type="character" w:customStyle="1" w:styleId="564">
    <w:name w:val="T210"/>
    <w:qFormat/>
    <w:uiPriority w:val="0"/>
  </w:style>
  <w:style w:type="character" w:customStyle="1" w:styleId="565">
    <w:name w:val="T310"/>
    <w:qFormat/>
    <w:uiPriority w:val="0"/>
  </w:style>
  <w:style w:type="character" w:customStyle="1" w:styleId="566">
    <w:name w:val="T410"/>
    <w:qFormat/>
    <w:uiPriority w:val="0"/>
  </w:style>
  <w:style w:type="character" w:customStyle="1" w:styleId="567">
    <w:name w:val="T510"/>
    <w:qFormat/>
    <w:uiPriority w:val="0"/>
  </w:style>
  <w:style w:type="character" w:customStyle="1" w:styleId="568">
    <w:name w:val="T610"/>
    <w:qFormat/>
    <w:uiPriority w:val="0"/>
  </w:style>
  <w:style w:type="character" w:customStyle="1" w:styleId="569">
    <w:name w:val="T710"/>
    <w:qFormat/>
    <w:uiPriority w:val="0"/>
  </w:style>
  <w:style w:type="character" w:customStyle="1" w:styleId="570">
    <w:name w:val="T810"/>
    <w:qFormat/>
    <w:uiPriority w:val="0"/>
  </w:style>
  <w:style w:type="character" w:customStyle="1" w:styleId="571">
    <w:name w:val="T910"/>
    <w:qFormat/>
    <w:uiPriority w:val="0"/>
  </w:style>
  <w:style w:type="character" w:customStyle="1" w:styleId="572">
    <w:name w:val="T1010"/>
    <w:qFormat/>
    <w:uiPriority w:val="0"/>
  </w:style>
  <w:style w:type="character" w:customStyle="1" w:styleId="573">
    <w:name w:val="T1110"/>
    <w:qFormat/>
    <w:uiPriority w:val="0"/>
  </w:style>
  <w:style w:type="character" w:customStyle="1" w:styleId="574">
    <w:name w:val="T1210"/>
    <w:qFormat/>
    <w:uiPriority w:val="0"/>
  </w:style>
  <w:style w:type="character" w:customStyle="1" w:styleId="575">
    <w:name w:val="T1310"/>
    <w:qFormat/>
    <w:uiPriority w:val="0"/>
  </w:style>
  <w:style w:type="character" w:customStyle="1" w:styleId="576">
    <w:name w:val="T1410"/>
    <w:qFormat/>
    <w:uiPriority w:val="0"/>
  </w:style>
  <w:style w:type="character" w:customStyle="1" w:styleId="577">
    <w:name w:val="T1510"/>
    <w:qFormat/>
    <w:uiPriority w:val="0"/>
  </w:style>
  <w:style w:type="character" w:customStyle="1" w:styleId="578">
    <w:name w:val="T1641"/>
    <w:qFormat/>
    <w:uiPriority w:val="0"/>
  </w:style>
  <w:style w:type="character" w:customStyle="1" w:styleId="579">
    <w:name w:val="T1711"/>
    <w:qFormat/>
    <w:uiPriority w:val="0"/>
  </w:style>
  <w:style w:type="character" w:customStyle="1" w:styleId="580">
    <w:name w:val="T1811"/>
    <w:qFormat/>
    <w:uiPriority w:val="0"/>
  </w:style>
  <w:style w:type="character" w:customStyle="1" w:styleId="581">
    <w:name w:val="T1911"/>
    <w:qFormat/>
    <w:uiPriority w:val="0"/>
    <w:rPr>
      <w:rFonts w:ascii="Symbol" w:hAnsi="Symbol" w:cs="Symbol"/>
    </w:rPr>
  </w:style>
  <w:style w:type="character" w:customStyle="1" w:styleId="582">
    <w:name w:val="T201"/>
    <w:qFormat/>
    <w:uiPriority w:val="0"/>
    <w:rPr>
      <w:rFonts w:ascii="Courier New" w:hAnsi="Courier New" w:cs="Courier New"/>
    </w:rPr>
  </w:style>
  <w:style w:type="character" w:customStyle="1" w:styleId="583">
    <w:name w:val="T211"/>
    <w:qFormat/>
    <w:uiPriority w:val="0"/>
    <w:rPr>
      <w:rFonts w:ascii="Wingdings" w:hAnsi="Wingdings" w:cs="Wingdings"/>
    </w:rPr>
  </w:style>
  <w:style w:type="character" w:customStyle="1" w:styleId="584">
    <w:name w:val="T221"/>
    <w:qFormat/>
    <w:uiPriority w:val="0"/>
    <w:rPr>
      <w:rFonts w:ascii="Symbol" w:hAnsi="Symbol" w:cs="Symbol"/>
    </w:rPr>
  </w:style>
  <w:style w:type="character" w:customStyle="1" w:styleId="585">
    <w:name w:val="T231"/>
    <w:qFormat/>
    <w:uiPriority w:val="0"/>
    <w:rPr>
      <w:rFonts w:ascii="Courier New" w:hAnsi="Courier New" w:cs="Courier New"/>
    </w:rPr>
  </w:style>
  <w:style w:type="character" w:customStyle="1" w:styleId="586">
    <w:name w:val="T241"/>
    <w:qFormat/>
    <w:uiPriority w:val="0"/>
    <w:rPr>
      <w:rFonts w:ascii="Wingdings" w:hAnsi="Wingdings" w:cs="Wingdings"/>
    </w:rPr>
  </w:style>
  <w:style w:type="character" w:customStyle="1" w:styleId="587">
    <w:name w:val="T251"/>
    <w:qFormat/>
    <w:uiPriority w:val="0"/>
    <w:rPr>
      <w:rFonts w:ascii="Symbol" w:hAnsi="Symbol" w:cs="Symbol"/>
    </w:rPr>
  </w:style>
  <w:style w:type="character" w:customStyle="1" w:styleId="588">
    <w:name w:val="T261"/>
    <w:qFormat/>
    <w:uiPriority w:val="0"/>
    <w:rPr>
      <w:rFonts w:ascii="Courier New" w:hAnsi="Courier New" w:cs="Courier New"/>
    </w:rPr>
  </w:style>
  <w:style w:type="character" w:customStyle="1" w:styleId="589">
    <w:name w:val="T271"/>
    <w:qFormat/>
    <w:uiPriority w:val="0"/>
    <w:rPr>
      <w:rFonts w:ascii="Wingdings" w:hAnsi="Wingdings" w:cs="Wingdings"/>
    </w:rPr>
  </w:style>
  <w:style w:type="character" w:customStyle="1" w:styleId="590">
    <w:name w:val="T281"/>
    <w:qFormat/>
    <w:uiPriority w:val="0"/>
    <w:rPr>
      <w:rFonts w:ascii="Wingdings" w:hAnsi="Wingdings" w:cs="Wingdings"/>
    </w:rPr>
  </w:style>
  <w:style w:type="character" w:customStyle="1" w:styleId="591">
    <w:name w:val="T291"/>
    <w:qFormat/>
    <w:uiPriority w:val="0"/>
  </w:style>
  <w:style w:type="character" w:customStyle="1" w:styleId="592">
    <w:name w:val="T301"/>
    <w:qFormat/>
    <w:uiPriority w:val="0"/>
  </w:style>
  <w:style w:type="character" w:customStyle="1" w:styleId="593">
    <w:name w:val="T311"/>
    <w:qFormat/>
    <w:uiPriority w:val="0"/>
  </w:style>
  <w:style w:type="character" w:customStyle="1" w:styleId="594">
    <w:name w:val="T321"/>
    <w:qFormat/>
    <w:uiPriority w:val="0"/>
  </w:style>
  <w:style w:type="character" w:customStyle="1" w:styleId="595">
    <w:name w:val="T331"/>
    <w:qFormat/>
    <w:uiPriority w:val="0"/>
  </w:style>
  <w:style w:type="character" w:customStyle="1" w:styleId="596">
    <w:name w:val="T341"/>
    <w:qFormat/>
    <w:uiPriority w:val="0"/>
  </w:style>
  <w:style w:type="character" w:customStyle="1" w:styleId="597">
    <w:name w:val="T351"/>
    <w:qFormat/>
    <w:uiPriority w:val="0"/>
  </w:style>
  <w:style w:type="character" w:customStyle="1" w:styleId="598">
    <w:name w:val="T361"/>
    <w:qFormat/>
    <w:uiPriority w:val="0"/>
  </w:style>
  <w:style w:type="character" w:customStyle="1" w:styleId="599">
    <w:name w:val="T371"/>
    <w:qFormat/>
    <w:uiPriority w:val="0"/>
  </w:style>
  <w:style w:type="character" w:customStyle="1" w:styleId="600">
    <w:name w:val="T381"/>
    <w:qFormat/>
    <w:uiPriority w:val="0"/>
  </w:style>
  <w:style w:type="character" w:customStyle="1" w:styleId="601">
    <w:name w:val="T391"/>
    <w:qFormat/>
    <w:uiPriority w:val="0"/>
  </w:style>
  <w:style w:type="character" w:customStyle="1" w:styleId="602">
    <w:name w:val="T401"/>
    <w:qFormat/>
    <w:uiPriority w:val="0"/>
  </w:style>
  <w:style w:type="character" w:customStyle="1" w:styleId="603">
    <w:name w:val="T411"/>
    <w:qFormat/>
    <w:uiPriority w:val="0"/>
  </w:style>
  <w:style w:type="character" w:customStyle="1" w:styleId="604">
    <w:name w:val="T421"/>
    <w:qFormat/>
    <w:uiPriority w:val="0"/>
  </w:style>
  <w:style w:type="character" w:customStyle="1" w:styleId="605">
    <w:name w:val="T431"/>
    <w:qFormat/>
    <w:uiPriority w:val="0"/>
  </w:style>
  <w:style w:type="character" w:customStyle="1" w:styleId="606">
    <w:name w:val="T441"/>
    <w:qFormat/>
    <w:uiPriority w:val="0"/>
  </w:style>
  <w:style w:type="character" w:customStyle="1" w:styleId="607">
    <w:name w:val="T451"/>
    <w:qFormat/>
    <w:uiPriority w:val="0"/>
  </w:style>
  <w:style w:type="character" w:customStyle="1" w:styleId="608">
    <w:name w:val="T461"/>
    <w:qFormat/>
    <w:uiPriority w:val="0"/>
    <w:rPr>
      <w:rFonts w:ascii="Symbol" w:hAnsi="Symbol" w:cs="Symbol"/>
    </w:rPr>
  </w:style>
  <w:style w:type="character" w:customStyle="1" w:styleId="609">
    <w:name w:val="T471"/>
    <w:qFormat/>
    <w:uiPriority w:val="0"/>
    <w:rPr>
      <w:rFonts w:ascii="OpenSymbol" w:hAnsi="OpenSymbol" w:cs="OpenSymbol"/>
    </w:rPr>
  </w:style>
  <w:style w:type="character" w:customStyle="1" w:styleId="610">
    <w:name w:val="T481"/>
    <w:qFormat/>
    <w:uiPriority w:val="0"/>
    <w:rPr>
      <w:rFonts w:ascii="OpenSymbol" w:hAnsi="OpenSymbol" w:cs="OpenSymbol"/>
    </w:rPr>
  </w:style>
  <w:style w:type="character" w:customStyle="1" w:styleId="611">
    <w:name w:val="T491"/>
    <w:qFormat/>
    <w:uiPriority w:val="0"/>
    <w:rPr>
      <w:rFonts w:ascii="Symbol" w:hAnsi="Symbol" w:cs="Symbol"/>
    </w:rPr>
  </w:style>
  <w:style w:type="character" w:customStyle="1" w:styleId="612">
    <w:name w:val="T501"/>
    <w:qFormat/>
    <w:uiPriority w:val="0"/>
    <w:rPr>
      <w:rFonts w:ascii="OpenSymbol" w:hAnsi="OpenSymbol" w:cs="OpenSymbol"/>
    </w:rPr>
  </w:style>
  <w:style w:type="character" w:customStyle="1" w:styleId="613">
    <w:name w:val="T511"/>
    <w:qFormat/>
    <w:uiPriority w:val="0"/>
    <w:rPr>
      <w:rFonts w:ascii="OpenSymbol" w:hAnsi="OpenSymbol" w:cs="OpenSymbol"/>
    </w:rPr>
  </w:style>
  <w:style w:type="character" w:customStyle="1" w:styleId="614">
    <w:name w:val="T521"/>
    <w:qFormat/>
    <w:uiPriority w:val="0"/>
    <w:rPr>
      <w:rFonts w:ascii="Symbol" w:hAnsi="Symbol" w:cs="Symbol"/>
    </w:rPr>
  </w:style>
  <w:style w:type="character" w:customStyle="1" w:styleId="615">
    <w:name w:val="T531"/>
    <w:qFormat/>
    <w:uiPriority w:val="0"/>
    <w:rPr>
      <w:rFonts w:ascii="OpenSymbol" w:hAnsi="OpenSymbol" w:cs="OpenSymbol"/>
    </w:rPr>
  </w:style>
  <w:style w:type="character" w:customStyle="1" w:styleId="616">
    <w:name w:val="T541"/>
    <w:qFormat/>
    <w:uiPriority w:val="0"/>
    <w:rPr>
      <w:rFonts w:ascii="OpenSymbol" w:hAnsi="OpenSymbol" w:cs="OpenSymbol"/>
    </w:rPr>
  </w:style>
  <w:style w:type="character" w:customStyle="1" w:styleId="617">
    <w:name w:val="T551"/>
    <w:qFormat/>
    <w:uiPriority w:val="0"/>
    <w:rPr>
      <w:rFonts w:ascii="Symbol" w:hAnsi="Symbol" w:cs="Symbol"/>
    </w:rPr>
  </w:style>
  <w:style w:type="character" w:customStyle="1" w:styleId="618">
    <w:name w:val="T561"/>
    <w:qFormat/>
    <w:uiPriority w:val="0"/>
    <w:rPr>
      <w:rFonts w:ascii="Courier New" w:hAnsi="Courier New" w:cs="Courier New"/>
    </w:rPr>
  </w:style>
  <w:style w:type="character" w:customStyle="1" w:styleId="619">
    <w:name w:val="T571"/>
    <w:qFormat/>
    <w:uiPriority w:val="0"/>
    <w:rPr>
      <w:rFonts w:ascii="Wingdings" w:hAnsi="Wingdings" w:cs="Wingdings"/>
    </w:rPr>
  </w:style>
  <w:style w:type="character" w:customStyle="1" w:styleId="620">
    <w:name w:val="T581"/>
    <w:qFormat/>
    <w:uiPriority w:val="0"/>
    <w:rPr>
      <w:rFonts w:ascii="Symbol" w:hAnsi="Symbol" w:cs="Symbol"/>
    </w:rPr>
  </w:style>
  <w:style w:type="character" w:customStyle="1" w:styleId="621">
    <w:name w:val="T591"/>
    <w:qFormat/>
    <w:uiPriority w:val="0"/>
    <w:rPr>
      <w:rFonts w:ascii="Courier New" w:hAnsi="Courier New" w:cs="Courier New"/>
    </w:rPr>
  </w:style>
  <w:style w:type="character" w:customStyle="1" w:styleId="622">
    <w:name w:val="T601"/>
    <w:qFormat/>
    <w:uiPriority w:val="0"/>
    <w:rPr>
      <w:rFonts w:ascii="Wingdings" w:hAnsi="Wingdings" w:cs="Wingdings"/>
    </w:rPr>
  </w:style>
  <w:style w:type="character" w:customStyle="1" w:styleId="623">
    <w:name w:val="T611"/>
    <w:qFormat/>
    <w:uiPriority w:val="0"/>
    <w:rPr>
      <w:rFonts w:ascii="Symbol" w:hAnsi="Symbol" w:cs="Symbol"/>
    </w:rPr>
  </w:style>
  <w:style w:type="character" w:customStyle="1" w:styleId="624">
    <w:name w:val="T621"/>
    <w:qFormat/>
    <w:uiPriority w:val="0"/>
    <w:rPr>
      <w:rFonts w:ascii="Courier New" w:hAnsi="Courier New" w:cs="Courier New"/>
    </w:rPr>
  </w:style>
  <w:style w:type="character" w:customStyle="1" w:styleId="625">
    <w:name w:val="T631"/>
    <w:qFormat/>
    <w:uiPriority w:val="0"/>
    <w:rPr>
      <w:rFonts w:ascii="Wingdings" w:hAnsi="Wingdings" w:cs="Wingdings"/>
    </w:rPr>
  </w:style>
  <w:style w:type="character" w:customStyle="1" w:styleId="626">
    <w:name w:val="T641"/>
    <w:qFormat/>
    <w:uiPriority w:val="0"/>
  </w:style>
  <w:style w:type="character" w:customStyle="1" w:styleId="627">
    <w:name w:val="T651"/>
    <w:qFormat/>
    <w:uiPriority w:val="0"/>
  </w:style>
  <w:style w:type="character" w:customStyle="1" w:styleId="628">
    <w:name w:val="T661"/>
    <w:qFormat/>
    <w:uiPriority w:val="0"/>
  </w:style>
  <w:style w:type="character" w:customStyle="1" w:styleId="629">
    <w:name w:val="T671"/>
    <w:qFormat/>
    <w:uiPriority w:val="0"/>
  </w:style>
  <w:style w:type="character" w:customStyle="1" w:styleId="630">
    <w:name w:val="T681"/>
    <w:qFormat/>
    <w:uiPriority w:val="0"/>
  </w:style>
  <w:style w:type="character" w:customStyle="1" w:styleId="631">
    <w:name w:val="T691"/>
    <w:qFormat/>
    <w:uiPriority w:val="0"/>
  </w:style>
  <w:style w:type="character" w:customStyle="1" w:styleId="632">
    <w:name w:val="T701"/>
    <w:qFormat/>
    <w:uiPriority w:val="0"/>
  </w:style>
  <w:style w:type="character" w:customStyle="1" w:styleId="633">
    <w:name w:val="T711"/>
    <w:qFormat/>
    <w:uiPriority w:val="0"/>
  </w:style>
  <w:style w:type="character" w:customStyle="1" w:styleId="634">
    <w:name w:val="T721"/>
    <w:qFormat/>
    <w:uiPriority w:val="0"/>
  </w:style>
  <w:style w:type="character" w:customStyle="1" w:styleId="635">
    <w:name w:val="T731"/>
    <w:qFormat/>
    <w:uiPriority w:val="0"/>
  </w:style>
  <w:style w:type="character" w:customStyle="1" w:styleId="636">
    <w:name w:val="T741"/>
    <w:qFormat/>
    <w:uiPriority w:val="0"/>
  </w:style>
  <w:style w:type="character" w:customStyle="1" w:styleId="637">
    <w:name w:val="T751"/>
    <w:qFormat/>
    <w:uiPriority w:val="0"/>
  </w:style>
  <w:style w:type="character" w:customStyle="1" w:styleId="638">
    <w:name w:val="T761"/>
    <w:qFormat/>
    <w:uiPriority w:val="0"/>
  </w:style>
  <w:style w:type="character" w:customStyle="1" w:styleId="639">
    <w:name w:val="T771"/>
    <w:qFormat/>
    <w:uiPriority w:val="0"/>
  </w:style>
  <w:style w:type="character" w:customStyle="1" w:styleId="640">
    <w:name w:val="T781"/>
    <w:qFormat/>
    <w:uiPriority w:val="0"/>
  </w:style>
  <w:style w:type="character" w:customStyle="1" w:styleId="641">
    <w:name w:val="T791"/>
    <w:qFormat/>
    <w:uiPriority w:val="0"/>
  </w:style>
  <w:style w:type="character" w:customStyle="1" w:styleId="642">
    <w:name w:val="T801"/>
    <w:qFormat/>
    <w:uiPriority w:val="0"/>
  </w:style>
  <w:style w:type="character" w:customStyle="1" w:styleId="643">
    <w:name w:val="T811"/>
    <w:qFormat/>
    <w:uiPriority w:val="0"/>
  </w:style>
  <w:style w:type="character" w:customStyle="1" w:styleId="644">
    <w:name w:val="T821"/>
    <w:qFormat/>
    <w:uiPriority w:val="0"/>
  </w:style>
  <w:style w:type="character" w:customStyle="1" w:styleId="645">
    <w:name w:val="T831"/>
    <w:qFormat/>
    <w:uiPriority w:val="0"/>
  </w:style>
  <w:style w:type="character" w:customStyle="1" w:styleId="646">
    <w:name w:val="T841"/>
    <w:qFormat/>
    <w:uiPriority w:val="0"/>
  </w:style>
  <w:style w:type="character" w:customStyle="1" w:styleId="647">
    <w:name w:val="T851"/>
    <w:qFormat/>
    <w:uiPriority w:val="0"/>
  </w:style>
  <w:style w:type="character" w:customStyle="1" w:styleId="648">
    <w:name w:val="T861"/>
    <w:qFormat/>
    <w:uiPriority w:val="0"/>
  </w:style>
  <w:style w:type="character" w:customStyle="1" w:styleId="649">
    <w:name w:val="T871"/>
    <w:qFormat/>
    <w:uiPriority w:val="0"/>
  </w:style>
  <w:style w:type="character" w:customStyle="1" w:styleId="650">
    <w:name w:val="T881"/>
    <w:qFormat/>
    <w:uiPriority w:val="0"/>
  </w:style>
  <w:style w:type="character" w:customStyle="1" w:styleId="651">
    <w:name w:val="T891"/>
    <w:qFormat/>
    <w:uiPriority w:val="0"/>
  </w:style>
  <w:style w:type="character" w:customStyle="1" w:styleId="652">
    <w:name w:val="T901"/>
    <w:qFormat/>
    <w:uiPriority w:val="0"/>
  </w:style>
  <w:style w:type="character" w:customStyle="1" w:styleId="653">
    <w:name w:val="T911"/>
    <w:qFormat/>
    <w:uiPriority w:val="0"/>
  </w:style>
  <w:style w:type="character" w:customStyle="1" w:styleId="654">
    <w:name w:val="T921"/>
    <w:qFormat/>
    <w:uiPriority w:val="0"/>
  </w:style>
  <w:style w:type="character" w:customStyle="1" w:styleId="655">
    <w:name w:val="T931"/>
    <w:qFormat/>
    <w:uiPriority w:val="0"/>
  </w:style>
  <w:style w:type="character" w:customStyle="1" w:styleId="656">
    <w:name w:val="T941"/>
    <w:qFormat/>
    <w:uiPriority w:val="0"/>
  </w:style>
  <w:style w:type="character" w:customStyle="1" w:styleId="657">
    <w:name w:val="T951"/>
    <w:qFormat/>
    <w:uiPriority w:val="0"/>
  </w:style>
  <w:style w:type="character" w:customStyle="1" w:styleId="658">
    <w:name w:val="T961"/>
    <w:qFormat/>
    <w:uiPriority w:val="0"/>
  </w:style>
  <w:style w:type="character" w:customStyle="1" w:styleId="659">
    <w:name w:val="T971"/>
    <w:qFormat/>
    <w:uiPriority w:val="0"/>
  </w:style>
  <w:style w:type="character" w:customStyle="1" w:styleId="660">
    <w:name w:val="T981"/>
    <w:qFormat/>
    <w:uiPriority w:val="0"/>
  </w:style>
  <w:style w:type="character" w:customStyle="1" w:styleId="661">
    <w:name w:val="T991"/>
    <w:qFormat/>
    <w:uiPriority w:val="0"/>
  </w:style>
  <w:style w:type="character" w:customStyle="1" w:styleId="662">
    <w:name w:val="T1001"/>
    <w:qFormat/>
    <w:uiPriority w:val="0"/>
  </w:style>
  <w:style w:type="character" w:customStyle="1" w:styleId="663">
    <w:name w:val="T1011"/>
    <w:qFormat/>
    <w:uiPriority w:val="0"/>
  </w:style>
  <w:style w:type="character" w:customStyle="1" w:styleId="664">
    <w:name w:val="T1021"/>
    <w:qFormat/>
    <w:uiPriority w:val="0"/>
  </w:style>
  <w:style w:type="character" w:customStyle="1" w:styleId="665">
    <w:name w:val="T1031"/>
    <w:qFormat/>
    <w:uiPriority w:val="0"/>
  </w:style>
  <w:style w:type="character" w:customStyle="1" w:styleId="666">
    <w:name w:val="T1041"/>
    <w:qFormat/>
    <w:uiPriority w:val="0"/>
  </w:style>
  <w:style w:type="character" w:customStyle="1" w:styleId="667">
    <w:name w:val="T1051"/>
    <w:qFormat/>
    <w:uiPriority w:val="0"/>
  </w:style>
  <w:style w:type="character" w:customStyle="1" w:styleId="668">
    <w:name w:val="T1061"/>
    <w:qFormat/>
    <w:uiPriority w:val="0"/>
  </w:style>
  <w:style w:type="character" w:customStyle="1" w:styleId="669">
    <w:name w:val="T1071"/>
    <w:qFormat/>
    <w:uiPriority w:val="0"/>
  </w:style>
  <w:style w:type="character" w:customStyle="1" w:styleId="670">
    <w:name w:val="T1081"/>
    <w:qFormat/>
    <w:uiPriority w:val="0"/>
  </w:style>
  <w:style w:type="character" w:customStyle="1" w:styleId="671">
    <w:name w:val="T1091"/>
    <w:qFormat/>
    <w:uiPriority w:val="0"/>
  </w:style>
  <w:style w:type="character" w:customStyle="1" w:styleId="672">
    <w:name w:val="T1101"/>
    <w:qFormat/>
    <w:uiPriority w:val="0"/>
  </w:style>
  <w:style w:type="character" w:customStyle="1" w:styleId="673">
    <w:name w:val="T1111"/>
    <w:qFormat/>
    <w:uiPriority w:val="0"/>
  </w:style>
  <w:style w:type="character" w:customStyle="1" w:styleId="674">
    <w:name w:val="T1121"/>
    <w:qFormat/>
    <w:uiPriority w:val="0"/>
  </w:style>
  <w:style w:type="character" w:customStyle="1" w:styleId="675">
    <w:name w:val="T1131"/>
    <w:qFormat/>
    <w:uiPriority w:val="0"/>
  </w:style>
  <w:style w:type="character" w:customStyle="1" w:styleId="676">
    <w:name w:val="T1141"/>
    <w:qFormat/>
    <w:uiPriority w:val="0"/>
  </w:style>
  <w:style w:type="character" w:customStyle="1" w:styleId="677">
    <w:name w:val="T1151"/>
    <w:qFormat/>
    <w:uiPriority w:val="0"/>
  </w:style>
  <w:style w:type="character" w:customStyle="1" w:styleId="678">
    <w:name w:val="T1161"/>
    <w:qFormat/>
    <w:uiPriority w:val="0"/>
  </w:style>
  <w:style w:type="character" w:customStyle="1" w:styleId="679">
    <w:name w:val="T1171"/>
    <w:qFormat/>
    <w:uiPriority w:val="0"/>
  </w:style>
  <w:style w:type="character" w:customStyle="1" w:styleId="680">
    <w:name w:val="T1181"/>
    <w:qFormat/>
    <w:uiPriority w:val="0"/>
  </w:style>
  <w:style w:type="character" w:customStyle="1" w:styleId="681">
    <w:name w:val="T1191"/>
    <w:qFormat/>
    <w:uiPriority w:val="0"/>
  </w:style>
  <w:style w:type="character" w:customStyle="1" w:styleId="682">
    <w:name w:val="T1201"/>
    <w:qFormat/>
    <w:uiPriority w:val="0"/>
  </w:style>
  <w:style w:type="character" w:customStyle="1" w:styleId="683">
    <w:name w:val="T1211"/>
    <w:qFormat/>
    <w:uiPriority w:val="0"/>
  </w:style>
  <w:style w:type="character" w:customStyle="1" w:styleId="684">
    <w:name w:val="T1221"/>
    <w:qFormat/>
    <w:uiPriority w:val="0"/>
  </w:style>
  <w:style w:type="character" w:customStyle="1" w:styleId="685">
    <w:name w:val="T1231"/>
    <w:qFormat/>
    <w:uiPriority w:val="0"/>
  </w:style>
  <w:style w:type="character" w:customStyle="1" w:styleId="686">
    <w:name w:val="T1241"/>
    <w:qFormat/>
    <w:uiPriority w:val="0"/>
  </w:style>
  <w:style w:type="character" w:customStyle="1" w:styleId="687">
    <w:name w:val="T1251"/>
    <w:qFormat/>
    <w:uiPriority w:val="0"/>
  </w:style>
  <w:style w:type="character" w:customStyle="1" w:styleId="688">
    <w:name w:val="T1261"/>
    <w:qFormat/>
    <w:uiPriority w:val="0"/>
  </w:style>
  <w:style w:type="character" w:customStyle="1" w:styleId="689">
    <w:name w:val="T1271"/>
    <w:qFormat/>
    <w:uiPriority w:val="0"/>
  </w:style>
  <w:style w:type="character" w:customStyle="1" w:styleId="690">
    <w:name w:val="T1281"/>
    <w:qFormat/>
    <w:uiPriority w:val="0"/>
  </w:style>
  <w:style w:type="character" w:customStyle="1" w:styleId="691">
    <w:name w:val="T1291"/>
    <w:qFormat/>
    <w:uiPriority w:val="0"/>
  </w:style>
  <w:style w:type="character" w:customStyle="1" w:styleId="692">
    <w:name w:val="T1301"/>
    <w:qFormat/>
    <w:uiPriority w:val="0"/>
  </w:style>
  <w:style w:type="character" w:customStyle="1" w:styleId="693">
    <w:name w:val="T1311"/>
    <w:qFormat/>
    <w:uiPriority w:val="0"/>
  </w:style>
  <w:style w:type="character" w:customStyle="1" w:styleId="694">
    <w:name w:val="T1321"/>
    <w:qFormat/>
    <w:uiPriority w:val="0"/>
  </w:style>
  <w:style w:type="character" w:customStyle="1" w:styleId="695">
    <w:name w:val="T1331"/>
    <w:qFormat/>
    <w:uiPriority w:val="0"/>
  </w:style>
  <w:style w:type="character" w:customStyle="1" w:styleId="696">
    <w:name w:val="T1341"/>
    <w:qFormat/>
    <w:uiPriority w:val="0"/>
  </w:style>
  <w:style w:type="character" w:customStyle="1" w:styleId="697">
    <w:name w:val="T1351"/>
    <w:qFormat/>
    <w:uiPriority w:val="0"/>
  </w:style>
  <w:style w:type="character" w:customStyle="1" w:styleId="698">
    <w:name w:val="T1361"/>
    <w:qFormat/>
    <w:uiPriority w:val="0"/>
  </w:style>
  <w:style w:type="character" w:customStyle="1" w:styleId="699">
    <w:name w:val="T1371"/>
    <w:qFormat/>
    <w:uiPriority w:val="0"/>
  </w:style>
  <w:style w:type="character" w:customStyle="1" w:styleId="700">
    <w:name w:val="T1381"/>
    <w:qFormat/>
    <w:uiPriority w:val="0"/>
  </w:style>
  <w:style w:type="character" w:customStyle="1" w:styleId="701">
    <w:name w:val="T1391"/>
    <w:qFormat/>
    <w:uiPriority w:val="0"/>
  </w:style>
  <w:style w:type="character" w:customStyle="1" w:styleId="702">
    <w:name w:val="T1401"/>
    <w:qFormat/>
    <w:uiPriority w:val="0"/>
  </w:style>
  <w:style w:type="character" w:customStyle="1" w:styleId="703">
    <w:name w:val="T1411"/>
    <w:qFormat/>
    <w:uiPriority w:val="0"/>
  </w:style>
  <w:style w:type="character" w:customStyle="1" w:styleId="704">
    <w:name w:val="T1421"/>
    <w:qFormat/>
    <w:uiPriority w:val="0"/>
  </w:style>
  <w:style w:type="character" w:customStyle="1" w:styleId="705">
    <w:name w:val="T1431"/>
    <w:qFormat/>
    <w:uiPriority w:val="0"/>
  </w:style>
  <w:style w:type="character" w:customStyle="1" w:styleId="706">
    <w:name w:val="T1441"/>
    <w:qFormat/>
    <w:uiPriority w:val="0"/>
  </w:style>
  <w:style w:type="character" w:customStyle="1" w:styleId="707">
    <w:name w:val="T1451"/>
    <w:qFormat/>
    <w:uiPriority w:val="0"/>
  </w:style>
  <w:style w:type="character" w:customStyle="1" w:styleId="708">
    <w:name w:val="T1461"/>
    <w:qFormat/>
    <w:uiPriority w:val="0"/>
  </w:style>
  <w:style w:type="character" w:customStyle="1" w:styleId="709">
    <w:name w:val="T1471"/>
    <w:qFormat/>
    <w:uiPriority w:val="0"/>
  </w:style>
  <w:style w:type="character" w:customStyle="1" w:styleId="710">
    <w:name w:val="T1481"/>
    <w:qFormat/>
    <w:uiPriority w:val="0"/>
  </w:style>
  <w:style w:type="character" w:customStyle="1" w:styleId="711">
    <w:name w:val="T1491"/>
    <w:qFormat/>
    <w:uiPriority w:val="0"/>
  </w:style>
  <w:style w:type="character" w:customStyle="1" w:styleId="712">
    <w:name w:val="T1501"/>
    <w:qFormat/>
    <w:uiPriority w:val="0"/>
  </w:style>
  <w:style w:type="character" w:customStyle="1" w:styleId="713">
    <w:name w:val="T1511"/>
    <w:qFormat/>
    <w:uiPriority w:val="0"/>
  </w:style>
  <w:style w:type="character" w:customStyle="1" w:styleId="714">
    <w:name w:val="T1521"/>
    <w:qFormat/>
    <w:uiPriority w:val="0"/>
  </w:style>
  <w:style w:type="character" w:customStyle="1" w:styleId="715">
    <w:name w:val="T1531"/>
    <w:qFormat/>
    <w:uiPriority w:val="0"/>
  </w:style>
  <w:style w:type="character" w:customStyle="1" w:styleId="716">
    <w:name w:val="T1541"/>
    <w:qFormat/>
    <w:uiPriority w:val="0"/>
  </w:style>
  <w:style w:type="character" w:customStyle="1" w:styleId="717">
    <w:name w:val="T1551"/>
    <w:qFormat/>
    <w:uiPriority w:val="0"/>
  </w:style>
  <w:style w:type="character" w:customStyle="1" w:styleId="718">
    <w:name w:val="T1561"/>
    <w:qFormat/>
    <w:uiPriority w:val="0"/>
  </w:style>
  <w:style w:type="character" w:customStyle="1" w:styleId="719">
    <w:name w:val="T1571"/>
    <w:qFormat/>
    <w:uiPriority w:val="0"/>
  </w:style>
  <w:style w:type="character" w:customStyle="1" w:styleId="720">
    <w:name w:val="T1581"/>
    <w:qFormat/>
    <w:uiPriority w:val="0"/>
  </w:style>
  <w:style w:type="character" w:customStyle="1" w:styleId="721">
    <w:name w:val="T1591"/>
    <w:qFormat/>
    <w:uiPriority w:val="0"/>
  </w:style>
  <w:style w:type="character" w:customStyle="1" w:styleId="722">
    <w:name w:val="T1601"/>
    <w:qFormat/>
    <w:uiPriority w:val="0"/>
  </w:style>
  <w:style w:type="character" w:customStyle="1" w:styleId="723">
    <w:name w:val="T1611"/>
    <w:qFormat/>
    <w:uiPriority w:val="0"/>
  </w:style>
  <w:style w:type="character" w:customStyle="1" w:styleId="724">
    <w:name w:val="T1621"/>
    <w:qFormat/>
    <w:uiPriority w:val="0"/>
  </w:style>
  <w:style w:type="character" w:customStyle="1" w:styleId="725">
    <w:name w:val="T163"/>
    <w:qFormat/>
    <w:uiPriority w:val="0"/>
  </w:style>
  <w:style w:type="character" w:customStyle="1" w:styleId="726">
    <w:name w:val="T164"/>
    <w:qFormat/>
    <w:uiPriority w:val="0"/>
  </w:style>
  <w:style w:type="character" w:customStyle="1" w:styleId="727">
    <w:name w:val="T165"/>
    <w:qFormat/>
    <w:uiPriority w:val="0"/>
  </w:style>
  <w:style w:type="character" w:customStyle="1" w:styleId="728">
    <w:name w:val="T166"/>
    <w:qFormat/>
    <w:uiPriority w:val="0"/>
  </w:style>
  <w:style w:type="character" w:customStyle="1" w:styleId="729">
    <w:name w:val="T167"/>
    <w:qFormat/>
    <w:uiPriority w:val="0"/>
  </w:style>
  <w:style w:type="character" w:customStyle="1" w:styleId="730">
    <w:name w:val="T168"/>
    <w:qFormat/>
    <w:uiPriority w:val="0"/>
  </w:style>
  <w:style w:type="character" w:customStyle="1" w:styleId="731">
    <w:name w:val="T169"/>
    <w:qFormat/>
    <w:uiPriority w:val="0"/>
  </w:style>
  <w:style w:type="character" w:customStyle="1" w:styleId="732">
    <w:name w:val="T170"/>
    <w:qFormat/>
    <w:uiPriority w:val="0"/>
  </w:style>
  <w:style w:type="character" w:customStyle="1" w:styleId="733">
    <w:name w:val="T171"/>
    <w:qFormat/>
    <w:uiPriority w:val="0"/>
  </w:style>
  <w:style w:type="character" w:customStyle="1" w:styleId="734">
    <w:name w:val="T1721"/>
    <w:qFormat/>
    <w:uiPriority w:val="0"/>
  </w:style>
  <w:style w:type="character" w:customStyle="1" w:styleId="735">
    <w:name w:val="T212"/>
    <w:qFormat/>
    <w:uiPriority w:val="0"/>
  </w:style>
  <w:style w:type="character" w:customStyle="1" w:styleId="736">
    <w:name w:val="T312"/>
    <w:qFormat/>
    <w:uiPriority w:val="0"/>
  </w:style>
  <w:style w:type="character" w:customStyle="1" w:styleId="737">
    <w:name w:val="T412"/>
    <w:qFormat/>
    <w:uiPriority w:val="0"/>
  </w:style>
  <w:style w:type="character" w:customStyle="1" w:styleId="738">
    <w:name w:val="T512"/>
    <w:qFormat/>
    <w:uiPriority w:val="0"/>
  </w:style>
  <w:style w:type="character" w:customStyle="1" w:styleId="739">
    <w:name w:val="T612"/>
    <w:qFormat/>
    <w:uiPriority w:val="0"/>
  </w:style>
  <w:style w:type="character" w:customStyle="1" w:styleId="740">
    <w:name w:val="T712"/>
    <w:qFormat/>
    <w:uiPriority w:val="0"/>
  </w:style>
  <w:style w:type="character" w:customStyle="1" w:styleId="741">
    <w:name w:val="T812"/>
    <w:qFormat/>
    <w:uiPriority w:val="0"/>
  </w:style>
  <w:style w:type="character" w:customStyle="1" w:styleId="742">
    <w:name w:val="T912"/>
    <w:qFormat/>
    <w:uiPriority w:val="0"/>
  </w:style>
  <w:style w:type="character" w:customStyle="1" w:styleId="743">
    <w:name w:val="T1012"/>
    <w:qFormat/>
    <w:uiPriority w:val="0"/>
  </w:style>
  <w:style w:type="character" w:customStyle="1" w:styleId="744">
    <w:name w:val="T1112"/>
    <w:qFormat/>
    <w:uiPriority w:val="0"/>
  </w:style>
  <w:style w:type="character" w:customStyle="1" w:styleId="745">
    <w:name w:val="T1212"/>
    <w:qFormat/>
    <w:uiPriority w:val="0"/>
  </w:style>
  <w:style w:type="character" w:customStyle="1" w:styleId="746">
    <w:name w:val="T1312"/>
    <w:qFormat/>
    <w:uiPriority w:val="0"/>
  </w:style>
  <w:style w:type="character" w:customStyle="1" w:styleId="747">
    <w:name w:val="T1412"/>
    <w:qFormat/>
    <w:uiPriority w:val="0"/>
  </w:style>
  <w:style w:type="character" w:customStyle="1" w:styleId="748">
    <w:name w:val="T1512"/>
    <w:qFormat/>
    <w:uiPriority w:val="0"/>
  </w:style>
  <w:style w:type="character" w:customStyle="1" w:styleId="749">
    <w:name w:val="T1610"/>
    <w:qFormat/>
    <w:uiPriority w:val="0"/>
  </w:style>
  <w:style w:type="character" w:customStyle="1" w:styleId="750">
    <w:name w:val="T1731"/>
    <w:qFormat/>
    <w:uiPriority w:val="0"/>
  </w:style>
  <w:style w:type="character" w:customStyle="1" w:styleId="751">
    <w:name w:val="T1821"/>
    <w:qFormat/>
    <w:uiPriority w:val="0"/>
  </w:style>
  <w:style w:type="character" w:customStyle="1" w:styleId="752">
    <w:name w:val="T1921"/>
    <w:qFormat/>
    <w:uiPriority w:val="0"/>
    <w:rPr>
      <w:rFonts w:ascii="Symbol" w:hAnsi="Symbol" w:cs="Symbol"/>
    </w:rPr>
  </w:style>
  <w:style w:type="character" w:customStyle="1" w:styleId="753">
    <w:name w:val="T202"/>
    <w:qFormat/>
    <w:uiPriority w:val="0"/>
    <w:rPr>
      <w:rFonts w:ascii="Courier New" w:hAnsi="Courier New" w:cs="Courier New"/>
    </w:rPr>
  </w:style>
  <w:style w:type="character" w:customStyle="1" w:styleId="754">
    <w:name w:val="T213"/>
    <w:qFormat/>
    <w:uiPriority w:val="0"/>
    <w:rPr>
      <w:rFonts w:ascii="Wingdings" w:hAnsi="Wingdings" w:cs="Wingdings"/>
    </w:rPr>
  </w:style>
  <w:style w:type="character" w:customStyle="1" w:styleId="755">
    <w:name w:val="T222"/>
    <w:qFormat/>
    <w:uiPriority w:val="0"/>
    <w:rPr>
      <w:rFonts w:ascii="Symbol" w:hAnsi="Symbol" w:cs="Symbol"/>
    </w:rPr>
  </w:style>
  <w:style w:type="character" w:customStyle="1" w:styleId="756">
    <w:name w:val="T232"/>
    <w:qFormat/>
    <w:uiPriority w:val="0"/>
    <w:rPr>
      <w:rFonts w:ascii="Courier New" w:hAnsi="Courier New" w:cs="Courier New"/>
    </w:rPr>
  </w:style>
  <w:style w:type="character" w:customStyle="1" w:styleId="757">
    <w:name w:val="T242"/>
    <w:qFormat/>
    <w:uiPriority w:val="0"/>
    <w:rPr>
      <w:rFonts w:ascii="Wingdings" w:hAnsi="Wingdings" w:cs="Wingdings"/>
    </w:rPr>
  </w:style>
  <w:style w:type="character" w:customStyle="1" w:styleId="758">
    <w:name w:val="T252"/>
    <w:qFormat/>
    <w:uiPriority w:val="0"/>
    <w:rPr>
      <w:rFonts w:ascii="Symbol" w:hAnsi="Symbol" w:cs="Symbol"/>
    </w:rPr>
  </w:style>
  <w:style w:type="character" w:customStyle="1" w:styleId="759">
    <w:name w:val="T262"/>
    <w:qFormat/>
    <w:uiPriority w:val="0"/>
    <w:rPr>
      <w:rFonts w:ascii="Courier New" w:hAnsi="Courier New" w:cs="Courier New"/>
    </w:rPr>
  </w:style>
  <w:style w:type="character" w:customStyle="1" w:styleId="760">
    <w:name w:val="T272"/>
    <w:qFormat/>
    <w:uiPriority w:val="0"/>
    <w:rPr>
      <w:rFonts w:ascii="Wingdings" w:hAnsi="Wingdings" w:cs="Wingdings"/>
    </w:rPr>
  </w:style>
  <w:style w:type="character" w:customStyle="1" w:styleId="761">
    <w:name w:val="T282"/>
    <w:qFormat/>
    <w:uiPriority w:val="0"/>
    <w:rPr>
      <w:rFonts w:ascii="Wingdings" w:hAnsi="Wingdings" w:cs="Wingdings"/>
    </w:rPr>
  </w:style>
  <w:style w:type="character" w:customStyle="1" w:styleId="762">
    <w:name w:val="T292"/>
    <w:qFormat/>
    <w:uiPriority w:val="0"/>
  </w:style>
  <w:style w:type="character" w:customStyle="1" w:styleId="763">
    <w:name w:val="T302"/>
    <w:qFormat/>
    <w:uiPriority w:val="0"/>
  </w:style>
  <w:style w:type="character" w:customStyle="1" w:styleId="764">
    <w:name w:val="T313"/>
    <w:qFormat/>
    <w:uiPriority w:val="0"/>
  </w:style>
  <w:style w:type="character" w:customStyle="1" w:styleId="765">
    <w:name w:val="T322"/>
    <w:qFormat/>
    <w:uiPriority w:val="0"/>
  </w:style>
  <w:style w:type="character" w:customStyle="1" w:styleId="766">
    <w:name w:val="T332"/>
    <w:qFormat/>
    <w:uiPriority w:val="0"/>
  </w:style>
  <w:style w:type="character" w:customStyle="1" w:styleId="767">
    <w:name w:val="T342"/>
    <w:qFormat/>
    <w:uiPriority w:val="0"/>
  </w:style>
  <w:style w:type="character" w:customStyle="1" w:styleId="768">
    <w:name w:val="T352"/>
    <w:qFormat/>
    <w:uiPriority w:val="0"/>
  </w:style>
  <w:style w:type="character" w:customStyle="1" w:styleId="769">
    <w:name w:val="T362"/>
    <w:qFormat/>
    <w:uiPriority w:val="0"/>
  </w:style>
  <w:style w:type="character" w:customStyle="1" w:styleId="770">
    <w:name w:val="T372"/>
    <w:qFormat/>
    <w:uiPriority w:val="0"/>
  </w:style>
  <w:style w:type="character" w:customStyle="1" w:styleId="771">
    <w:name w:val="T382"/>
    <w:qFormat/>
    <w:uiPriority w:val="0"/>
  </w:style>
  <w:style w:type="character" w:customStyle="1" w:styleId="772">
    <w:name w:val="T392"/>
    <w:qFormat/>
    <w:uiPriority w:val="0"/>
  </w:style>
  <w:style w:type="character" w:customStyle="1" w:styleId="773">
    <w:name w:val="T402"/>
    <w:qFormat/>
    <w:uiPriority w:val="0"/>
  </w:style>
  <w:style w:type="character" w:customStyle="1" w:styleId="774">
    <w:name w:val="T413"/>
    <w:qFormat/>
    <w:uiPriority w:val="0"/>
  </w:style>
  <w:style w:type="character" w:customStyle="1" w:styleId="775">
    <w:name w:val="T422"/>
    <w:qFormat/>
    <w:uiPriority w:val="0"/>
  </w:style>
  <w:style w:type="character" w:customStyle="1" w:styleId="776">
    <w:name w:val="T432"/>
    <w:qFormat/>
    <w:uiPriority w:val="0"/>
  </w:style>
  <w:style w:type="character" w:customStyle="1" w:styleId="777">
    <w:name w:val="T442"/>
    <w:qFormat/>
    <w:uiPriority w:val="0"/>
  </w:style>
  <w:style w:type="character" w:customStyle="1" w:styleId="778">
    <w:name w:val="T452"/>
    <w:qFormat/>
    <w:uiPriority w:val="0"/>
  </w:style>
  <w:style w:type="character" w:customStyle="1" w:styleId="779">
    <w:name w:val="T462"/>
    <w:qFormat/>
    <w:uiPriority w:val="0"/>
    <w:rPr>
      <w:rFonts w:ascii="Symbol" w:hAnsi="Symbol" w:cs="Symbol"/>
    </w:rPr>
  </w:style>
  <w:style w:type="character" w:customStyle="1" w:styleId="780">
    <w:name w:val="T472"/>
    <w:qFormat/>
    <w:uiPriority w:val="0"/>
    <w:rPr>
      <w:rFonts w:ascii="OpenSymbol" w:hAnsi="OpenSymbol" w:cs="OpenSymbol"/>
    </w:rPr>
  </w:style>
  <w:style w:type="character" w:customStyle="1" w:styleId="781">
    <w:name w:val="T482"/>
    <w:qFormat/>
    <w:uiPriority w:val="0"/>
    <w:rPr>
      <w:rFonts w:ascii="OpenSymbol" w:hAnsi="OpenSymbol" w:cs="OpenSymbol"/>
    </w:rPr>
  </w:style>
  <w:style w:type="character" w:customStyle="1" w:styleId="782">
    <w:name w:val="T492"/>
    <w:qFormat/>
    <w:uiPriority w:val="0"/>
    <w:rPr>
      <w:rFonts w:ascii="Symbol" w:hAnsi="Symbol" w:cs="Symbol"/>
    </w:rPr>
  </w:style>
  <w:style w:type="character" w:customStyle="1" w:styleId="783">
    <w:name w:val="T502"/>
    <w:qFormat/>
    <w:uiPriority w:val="0"/>
    <w:rPr>
      <w:rFonts w:ascii="OpenSymbol" w:hAnsi="OpenSymbol" w:cs="OpenSymbol"/>
    </w:rPr>
  </w:style>
  <w:style w:type="character" w:customStyle="1" w:styleId="784">
    <w:name w:val="T513"/>
    <w:qFormat/>
    <w:uiPriority w:val="0"/>
    <w:rPr>
      <w:rFonts w:ascii="OpenSymbol" w:hAnsi="OpenSymbol" w:cs="OpenSymbol"/>
    </w:rPr>
  </w:style>
  <w:style w:type="character" w:customStyle="1" w:styleId="785">
    <w:name w:val="T522"/>
    <w:qFormat/>
    <w:uiPriority w:val="0"/>
    <w:rPr>
      <w:rFonts w:ascii="Symbol" w:hAnsi="Symbol" w:cs="Symbol"/>
    </w:rPr>
  </w:style>
  <w:style w:type="character" w:customStyle="1" w:styleId="786">
    <w:name w:val="T532"/>
    <w:qFormat/>
    <w:uiPriority w:val="0"/>
    <w:rPr>
      <w:rFonts w:ascii="OpenSymbol" w:hAnsi="OpenSymbol" w:cs="OpenSymbol"/>
    </w:rPr>
  </w:style>
  <w:style w:type="character" w:customStyle="1" w:styleId="787">
    <w:name w:val="T542"/>
    <w:qFormat/>
    <w:uiPriority w:val="0"/>
    <w:rPr>
      <w:rFonts w:ascii="OpenSymbol" w:hAnsi="OpenSymbol" w:cs="OpenSymbol"/>
    </w:rPr>
  </w:style>
  <w:style w:type="character" w:customStyle="1" w:styleId="788">
    <w:name w:val="T552"/>
    <w:qFormat/>
    <w:uiPriority w:val="0"/>
    <w:rPr>
      <w:rFonts w:ascii="Symbol" w:hAnsi="Symbol" w:cs="Symbol"/>
    </w:rPr>
  </w:style>
  <w:style w:type="character" w:customStyle="1" w:styleId="789">
    <w:name w:val="T562"/>
    <w:qFormat/>
    <w:uiPriority w:val="0"/>
    <w:rPr>
      <w:rFonts w:ascii="Courier New" w:hAnsi="Courier New" w:cs="Courier New"/>
    </w:rPr>
  </w:style>
  <w:style w:type="character" w:customStyle="1" w:styleId="790">
    <w:name w:val="T572"/>
    <w:qFormat/>
    <w:uiPriority w:val="0"/>
    <w:rPr>
      <w:rFonts w:ascii="Wingdings" w:hAnsi="Wingdings" w:cs="Wingdings"/>
    </w:rPr>
  </w:style>
  <w:style w:type="character" w:customStyle="1" w:styleId="791">
    <w:name w:val="T582"/>
    <w:qFormat/>
    <w:uiPriority w:val="0"/>
    <w:rPr>
      <w:rFonts w:ascii="Symbol" w:hAnsi="Symbol" w:cs="Symbol"/>
    </w:rPr>
  </w:style>
  <w:style w:type="character" w:customStyle="1" w:styleId="792">
    <w:name w:val="T592"/>
    <w:qFormat/>
    <w:uiPriority w:val="0"/>
    <w:rPr>
      <w:rFonts w:ascii="Courier New" w:hAnsi="Courier New" w:cs="Courier New"/>
    </w:rPr>
  </w:style>
  <w:style w:type="character" w:customStyle="1" w:styleId="793">
    <w:name w:val="T602"/>
    <w:qFormat/>
    <w:uiPriority w:val="0"/>
    <w:rPr>
      <w:rFonts w:ascii="Wingdings" w:hAnsi="Wingdings" w:cs="Wingdings"/>
    </w:rPr>
  </w:style>
  <w:style w:type="character" w:customStyle="1" w:styleId="794">
    <w:name w:val="T613"/>
    <w:qFormat/>
    <w:uiPriority w:val="0"/>
    <w:rPr>
      <w:rFonts w:ascii="Symbol" w:hAnsi="Symbol" w:cs="Symbol"/>
    </w:rPr>
  </w:style>
  <w:style w:type="character" w:customStyle="1" w:styleId="795">
    <w:name w:val="T622"/>
    <w:qFormat/>
    <w:uiPriority w:val="0"/>
    <w:rPr>
      <w:rFonts w:ascii="Courier New" w:hAnsi="Courier New" w:cs="Courier New"/>
    </w:rPr>
  </w:style>
  <w:style w:type="character" w:customStyle="1" w:styleId="796">
    <w:name w:val="T632"/>
    <w:qFormat/>
    <w:uiPriority w:val="0"/>
    <w:rPr>
      <w:rFonts w:ascii="Wingdings" w:hAnsi="Wingdings" w:cs="Wingdings"/>
    </w:rPr>
  </w:style>
  <w:style w:type="character" w:customStyle="1" w:styleId="797">
    <w:name w:val="T642"/>
    <w:qFormat/>
    <w:uiPriority w:val="0"/>
  </w:style>
  <w:style w:type="character" w:customStyle="1" w:styleId="798">
    <w:name w:val="T652"/>
    <w:qFormat/>
    <w:uiPriority w:val="0"/>
  </w:style>
  <w:style w:type="character" w:customStyle="1" w:styleId="799">
    <w:name w:val="T662"/>
    <w:qFormat/>
    <w:uiPriority w:val="0"/>
  </w:style>
  <w:style w:type="character" w:customStyle="1" w:styleId="800">
    <w:name w:val="T672"/>
    <w:qFormat/>
    <w:uiPriority w:val="0"/>
  </w:style>
  <w:style w:type="character" w:customStyle="1" w:styleId="801">
    <w:name w:val="T682"/>
    <w:qFormat/>
    <w:uiPriority w:val="0"/>
  </w:style>
  <w:style w:type="character" w:customStyle="1" w:styleId="802">
    <w:name w:val="T692"/>
    <w:qFormat/>
    <w:uiPriority w:val="0"/>
  </w:style>
  <w:style w:type="character" w:customStyle="1" w:styleId="803">
    <w:name w:val="T702"/>
    <w:qFormat/>
    <w:uiPriority w:val="0"/>
  </w:style>
  <w:style w:type="character" w:customStyle="1" w:styleId="804">
    <w:name w:val="T713"/>
    <w:qFormat/>
    <w:uiPriority w:val="0"/>
  </w:style>
  <w:style w:type="character" w:customStyle="1" w:styleId="805">
    <w:name w:val="T722"/>
    <w:qFormat/>
    <w:uiPriority w:val="0"/>
  </w:style>
  <w:style w:type="character" w:customStyle="1" w:styleId="806">
    <w:name w:val="T732"/>
    <w:qFormat/>
    <w:uiPriority w:val="0"/>
  </w:style>
  <w:style w:type="character" w:customStyle="1" w:styleId="807">
    <w:name w:val="T742"/>
    <w:qFormat/>
    <w:uiPriority w:val="0"/>
  </w:style>
  <w:style w:type="character" w:customStyle="1" w:styleId="808">
    <w:name w:val="T752"/>
    <w:qFormat/>
    <w:uiPriority w:val="0"/>
  </w:style>
  <w:style w:type="character" w:customStyle="1" w:styleId="809">
    <w:name w:val="T762"/>
    <w:qFormat/>
    <w:uiPriority w:val="0"/>
  </w:style>
  <w:style w:type="character" w:customStyle="1" w:styleId="810">
    <w:name w:val="T772"/>
    <w:qFormat/>
    <w:uiPriority w:val="0"/>
  </w:style>
  <w:style w:type="character" w:customStyle="1" w:styleId="811">
    <w:name w:val="T782"/>
    <w:qFormat/>
    <w:uiPriority w:val="0"/>
  </w:style>
  <w:style w:type="character" w:customStyle="1" w:styleId="812">
    <w:name w:val="T792"/>
    <w:qFormat/>
    <w:uiPriority w:val="0"/>
  </w:style>
  <w:style w:type="character" w:customStyle="1" w:styleId="813">
    <w:name w:val="T802"/>
    <w:qFormat/>
    <w:uiPriority w:val="0"/>
  </w:style>
  <w:style w:type="character" w:customStyle="1" w:styleId="814">
    <w:name w:val="T813"/>
    <w:qFormat/>
    <w:uiPriority w:val="0"/>
  </w:style>
  <w:style w:type="character" w:customStyle="1" w:styleId="815">
    <w:name w:val="T822"/>
    <w:qFormat/>
    <w:uiPriority w:val="0"/>
  </w:style>
  <w:style w:type="character" w:customStyle="1" w:styleId="816">
    <w:name w:val="T832"/>
    <w:qFormat/>
    <w:uiPriority w:val="0"/>
  </w:style>
  <w:style w:type="character" w:customStyle="1" w:styleId="817">
    <w:name w:val="T842"/>
    <w:qFormat/>
    <w:uiPriority w:val="0"/>
  </w:style>
  <w:style w:type="character" w:customStyle="1" w:styleId="818">
    <w:name w:val="T852"/>
    <w:qFormat/>
    <w:uiPriority w:val="0"/>
  </w:style>
  <w:style w:type="character" w:customStyle="1" w:styleId="819">
    <w:name w:val="T862"/>
    <w:qFormat/>
    <w:uiPriority w:val="0"/>
  </w:style>
  <w:style w:type="character" w:customStyle="1" w:styleId="820">
    <w:name w:val="T872"/>
    <w:qFormat/>
    <w:uiPriority w:val="0"/>
  </w:style>
  <w:style w:type="character" w:customStyle="1" w:styleId="821">
    <w:name w:val="T882"/>
    <w:qFormat/>
    <w:uiPriority w:val="0"/>
  </w:style>
  <w:style w:type="character" w:customStyle="1" w:styleId="822">
    <w:name w:val="T892"/>
    <w:qFormat/>
    <w:uiPriority w:val="0"/>
  </w:style>
  <w:style w:type="character" w:customStyle="1" w:styleId="823">
    <w:name w:val="T902"/>
    <w:qFormat/>
    <w:uiPriority w:val="0"/>
  </w:style>
  <w:style w:type="character" w:customStyle="1" w:styleId="824">
    <w:name w:val="T913"/>
    <w:qFormat/>
    <w:uiPriority w:val="0"/>
  </w:style>
  <w:style w:type="character" w:customStyle="1" w:styleId="825">
    <w:name w:val="T922"/>
    <w:qFormat/>
    <w:uiPriority w:val="0"/>
  </w:style>
  <w:style w:type="character" w:customStyle="1" w:styleId="826">
    <w:name w:val="T932"/>
    <w:qFormat/>
    <w:uiPriority w:val="0"/>
  </w:style>
  <w:style w:type="character" w:customStyle="1" w:styleId="827">
    <w:name w:val="T942"/>
    <w:qFormat/>
    <w:uiPriority w:val="0"/>
  </w:style>
  <w:style w:type="character" w:customStyle="1" w:styleId="828">
    <w:name w:val="T952"/>
    <w:qFormat/>
    <w:uiPriority w:val="0"/>
  </w:style>
  <w:style w:type="character" w:customStyle="1" w:styleId="829">
    <w:name w:val="T962"/>
    <w:qFormat/>
    <w:uiPriority w:val="0"/>
  </w:style>
  <w:style w:type="character" w:customStyle="1" w:styleId="830">
    <w:name w:val="T972"/>
    <w:qFormat/>
    <w:uiPriority w:val="0"/>
  </w:style>
  <w:style w:type="character" w:customStyle="1" w:styleId="831">
    <w:name w:val="T982"/>
    <w:qFormat/>
    <w:uiPriority w:val="0"/>
  </w:style>
  <w:style w:type="character" w:customStyle="1" w:styleId="832">
    <w:name w:val="T992"/>
    <w:qFormat/>
    <w:uiPriority w:val="0"/>
  </w:style>
  <w:style w:type="character" w:customStyle="1" w:styleId="833">
    <w:name w:val="T1002"/>
    <w:qFormat/>
    <w:uiPriority w:val="0"/>
  </w:style>
  <w:style w:type="character" w:customStyle="1" w:styleId="834">
    <w:name w:val="T1013"/>
    <w:qFormat/>
    <w:uiPriority w:val="0"/>
  </w:style>
  <w:style w:type="character" w:customStyle="1" w:styleId="835">
    <w:name w:val="T1022"/>
    <w:qFormat/>
    <w:uiPriority w:val="0"/>
  </w:style>
  <w:style w:type="character" w:customStyle="1" w:styleId="836">
    <w:name w:val="T1032"/>
    <w:qFormat/>
    <w:uiPriority w:val="0"/>
  </w:style>
  <w:style w:type="character" w:customStyle="1" w:styleId="837">
    <w:name w:val="T1042"/>
    <w:qFormat/>
    <w:uiPriority w:val="0"/>
  </w:style>
  <w:style w:type="character" w:customStyle="1" w:styleId="838">
    <w:name w:val="T1052"/>
    <w:qFormat/>
    <w:uiPriority w:val="0"/>
  </w:style>
  <w:style w:type="character" w:customStyle="1" w:styleId="839">
    <w:name w:val="T1062"/>
    <w:qFormat/>
    <w:uiPriority w:val="0"/>
  </w:style>
  <w:style w:type="character" w:customStyle="1" w:styleId="840">
    <w:name w:val="T1072"/>
    <w:qFormat/>
    <w:uiPriority w:val="0"/>
  </w:style>
  <w:style w:type="character" w:customStyle="1" w:styleId="841">
    <w:name w:val="T1082"/>
    <w:qFormat/>
    <w:uiPriority w:val="0"/>
  </w:style>
  <w:style w:type="character" w:customStyle="1" w:styleId="842">
    <w:name w:val="T1092"/>
    <w:qFormat/>
    <w:uiPriority w:val="0"/>
  </w:style>
  <w:style w:type="character" w:customStyle="1" w:styleId="843">
    <w:name w:val="T1102"/>
    <w:qFormat/>
    <w:uiPriority w:val="0"/>
  </w:style>
  <w:style w:type="character" w:customStyle="1" w:styleId="844">
    <w:name w:val="T1113"/>
    <w:qFormat/>
    <w:uiPriority w:val="0"/>
  </w:style>
  <w:style w:type="character" w:customStyle="1" w:styleId="845">
    <w:name w:val="T1122"/>
    <w:qFormat/>
    <w:uiPriority w:val="0"/>
  </w:style>
  <w:style w:type="character" w:customStyle="1" w:styleId="846">
    <w:name w:val="T1132"/>
    <w:qFormat/>
    <w:uiPriority w:val="0"/>
  </w:style>
  <w:style w:type="character" w:customStyle="1" w:styleId="847">
    <w:name w:val="T1142"/>
    <w:qFormat/>
    <w:uiPriority w:val="0"/>
  </w:style>
  <w:style w:type="character" w:customStyle="1" w:styleId="848">
    <w:name w:val="T1152"/>
    <w:qFormat/>
    <w:uiPriority w:val="0"/>
  </w:style>
  <w:style w:type="character" w:customStyle="1" w:styleId="849">
    <w:name w:val="T1162"/>
    <w:qFormat/>
    <w:uiPriority w:val="0"/>
  </w:style>
  <w:style w:type="character" w:customStyle="1" w:styleId="850">
    <w:name w:val="T1172"/>
    <w:qFormat/>
    <w:uiPriority w:val="0"/>
  </w:style>
  <w:style w:type="character" w:customStyle="1" w:styleId="851">
    <w:name w:val="T1182"/>
    <w:qFormat/>
    <w:uiPriority w:val="0"/>
  </w:style>
  <w:style w:type="character" w:customStyle="1" w:styleId="852">
    <w:name w:val="T1192"/>
    <w:qFormat/>
    <w:uiPriority w:val="0"/>
  </w:style>
  <w:style w:type="character" w:customStyle="1" w:styleId="853">
    <w:name w:val="T1202"/>
    <w:qFormat/>
    <w:uiPriority w:val="0"/>
  </w:style>
  <w:style w:type="character" w:customStyle="1" w:styleId="854">
    <w:name w:val="T1213"/>
    <w:qFormat/>
    <w:uiPriority w:val="0"/>
  </w:style>
  <w:style w:type="character" w:customStyle="1" w:styleId="855">
    <w:name w:val="T1222"/>
    <w:qFormat/>
    <w:uiPriority w:val="0"/>
  </w:style>
  <w:style w:type="character" w:customStyle="1" w:styleId="856">
    <w:name w:val="T1232"/>
    <w:qFormat/>
    <w:uiPriority w:val="0"/>
  </w:style>
  <w:style w:type="character" w:customStyle="1" w:styleId="857">
    <w:name w:val="T1242"/>
    <w:qFormat/>
    <w:uiPriority w:val="0"/>
  </w:style>
  <w:style w:type="character" w:customStyle="1" w:styleId="858">
    <w:name w:val="T1252"/>
    <w:qFormat/>
    <w:uiPriority w:val="0"/>
  </w:style>
  <w:style w:type="character" w:customStyle="1" w:styleId="859">
    <w:name w:val="T1262"/>
    <w:qFormat/>
    <w:uiPriority w:val="0"/>
  </w:style>
  <w:style w:type="character" w:customStyle="1" w:styleId="860">
    <w:name w:val="T1272"/>
    <w:qFormat/>
    <w:uiPriority w:val="0"/>
  </w:style>
  <w:style w:type="character" w:customStyle="1" w:styleId="861">
    <w:name w:val="T1282"/>
    <w:qFormat/>
    <w:uiPriority w:val="0"/>
  </w:style>
  <w:style w:type="character" w:customStyle="1" w:styleId="862">
    <w:name w:val="T1292"/>
    <w:qFormat/>
    <w:uiPriority w:val="0"/>
  </w:style>
  <w:style w:type="character" w:customStyle="1" w:styleId="863">
    <w:name w:val="T1302"/>
    <w:qFormat/>
    <w:uiPriority w:val="0"/>
  </w:style>
  <w:style w:type="character" w:customStyle="1" w:styleId="864">
    <w:name w:val="T1313"/>
    <w:qFormat/>
    <w:uiPriority w:val="0"/>
  </w:style>
  <w:style w:type="character" w:customStyle="1" w:styleId="865">
    <w:name w:val="T1322"/>
    <w:qFormat/>
    <w:uiPriority w:val="0"/>
  </w:style>
  <w:style w:type="character" w:customStyle="1" w:styleId="866">
    <w:name w:val="T1332"/>
    <w:qFormat/>
    <w:uiPriority w:val="0"/>
  </w:style>
  <w:style w:type="character" w:customStyle="1" w:styleId="867">
    <w:name w:val="T1342"/>
    <w:qFormat/>
    <w:uiPriority w:val="0"/>
  </w:style>
  <w:style w:type="character" w:customStyle="1" w:styleId="868">
    <w:name w:val="T1352"/>
    <w:qFormat/>
    <w:uiPriority w:val="0"/>
  </w:style>
  <w:style w:type="character" w:customStyle="1" w:styleId="869">
    <w:name w:val="T1362"/>
    <w:qFormat/>
    <w:uiPriority w:val="0"/>
  </w:style>
  <w:style w:type="character" w:customStyle="1" w:styleId="870">
    <w:name w:val="T1372"/>
    <w:qFormat/>
    <w:uiPriority w:val="0"/>
  </w:style>
  <w:style w:type="character" w:customStyle="1" w:styleId="871">
    <w:name w:val="T1382"/>
    <w:qFormat/>
    <w:uiPriority w:val="0"/>
  </w:style>
  <w:style w:type="character" w:customStyle="1" w:styleId="872">
    <w:name w:val="T1392"/>
    <w:qFormat/>
    <w:uiPriority w:val="0"/>
  </w:style>
  <w:style w:type="character" w:customStyle="1" w:styleId="873">
    <w:name w:val="T1402"/>
    <w:qFormat/>
    <w:uiPriority w:val="0"/>
  </w:style>
  <w:style w:type="character" w:customStyle="1" w:styleId="874">
    <w:name w:val="T1413"/>
    <w:qFormat/>
    <w:uiPriority w:val="0"/>
  </w:style>
  <w:style w:type="character" w:customStyle="1" w:styleId="875">
    <w:name w:val="T1422"/>
    <w:qFormat/>
    <w:uiPriority w:val="0"/>
  </w:style>
  <w:style w:type="character" w:customStyle="1" w:styleId="876">
    <w:name w:val="T1432"/>
    <w:qFormat/>
    <w:uiPriority w:val="0"/>
  </w:style>
  <w:style w:type="character" w:customStyle="1" w:styleId="877">
    <w:name w:val="T1442"/>
    <w:qFormat/>
    <w:uiPriority w:val="0"/>
  </w:style>
  <w:style w:type="character" w:customStyle="1" w:styleId="878">
    <w:name w:val="T1452"/>
    <w:qFormat/>
    <w:uiPriority w:val="0"/>
  </w:style>
  <w:style w:type="character" w:customStyle="1" w:styleId="879">
    <w:name w:val="T1462"/>
    <w:qFormat/>
    <w:uiPriority w:val="0"/>
  </w:style>
  <w:style w:type="character" w:customStyle="1" w:styleId="880">
    <w:name w:val="T1472"/>
    <w:qFormat/>
    <w:uiPriority w:val="0"/>
  </w:style>
  <w:style w:type="character" w:customStyle="1" w:styleId="881">
    <w:name w:val="T1482"/>
    <w:qFormat/>
    <w:uiPriority w:val="0"/>
  </w:style>
  <w:style w:type="character" w:customStyle="1" w:styleId="882">
    <w:name w:val="T1492"/>
    <w:qFormat/>
    <w:uiPriority w:val="0"/>
  </w:style>
  <w:style w:type="character" w:customStyle="1" w:styleId="883">
    <w:name w:val="T1502"/>
    <w:qFormat/>
    <w:uiPriority w:val="0"/>
  </w:style>
  <w:style w:type="character" w:customStyle="1" w:styleId="884">
    <w:name w:val="T1513"/>
    <w:qFormat/>
    <w:uiPriority w:val="0"/>
  </w:style>
  <w:style w:type="character" w:customStyle="1" w:styleId="885">
    <w:name w:val="T1522"/>
    <w:qFormat/>
    <w:uiPriority w:val="0"/>
  </w:style>
  <w:style w:type="character" w:customStyle="1" w:styleId="886">
    <w:name w:val="T1532"/>
    <w:qFormat/>
    <w:uiPriority w:val="0"/>
  </w:style>
  <w:style w:type="character" w:customStyle="1" w:styleId="887">
    <w:name w:val="T1542"/>
    <w:qFormat/>
    <w:uiPriority w:val="0"/>
  </w:style>
  <w:style w:type="character" w:customStyle="1" w:styleId="888">
    <w:name w:val="T1552"/>
    <w:qFormat/>
    <w:uiPriority w:val="0"/>
  </w:style>
  <w:style w:type="character" w:customStyle="1" w:styleId="889">
    <w:name w:val="T1562"/>
    <w:qFormat/>
    <w:uiPriority w:val="0"/>
  </w:style>
  <w:style w:type="character" w:customStyle="1" w:styleId="890">
    <w:name w:val="T1572"/>
    <w:qFormat/>
    <w:uiPriority w:val="0"/>
  </w:style>
  <w:style w:type="character" w:customStyle="1" w:styleId="891">
    <w:name w:val="T1582"/>
    <w:qFormat/>
    <w:uiPriority w:val="0"/>
  </w:style>
  <w:style w:type="character" w:customStyle="1" w:styleId="892">
    <w:name w:val="T1592"/>
    <w:qFormat/>
    <w:uiPriority w:val="0"/>
  </w:style>
  <w:style w:type="character" w:customStyle="1" w:styleId="893">
    <w:name w:val="T1602"/>
    <w:qFormat/>
    <w:uiPriority w:val="0"/>
  </w:style>
  <w:style w:type="character" w:customStyle="1" w:styleId="894">
    <w:name w:val="T1612"/>
    <w:qFormat/>
    <w:uiPriority w:val="0"/>
  </w:style>
  <w:style w:type="character" w:customStyle="1" w:styleId="895">
    <w:name w:val="T1622"/>
    <w:qFormat/>
    <w:uiPriority w:val="0"/>
  </w:style>
  <w:style w:type="character" w:customStyle="1" w:styleId="896">
    <w:name w:val="T1632"/>
    <w:qFormat/>
    <w:uiPriority w:val="0"/>
  </w:style>
  <w:style w:type="character" w:customStyle="1" w:styleId="897">
    <w:name w:val="T1642"/>
    <w:qFormat/>
    <w:uiPriority w:val="0"/>
  </w:style>
  <w:style w:type="character" w:customStyle="1" w:styleId="898">
    <w:name w:val="T1651"/>
    <w:qFormat/>
    <w:uiPriority w:val="0"/>
  </w:style>
  <w:style w:type="character" w:customStyle="1" w:styleId="899">
    <w:name w:val="T1661"/>
    <w:qFormat/>
    <w:uiPriority w:val="0"/>
  </w:style>
  <w:style w:type="character" w:customStyle="1" w:styleId="900">
    <w:name w:val="T1671"/>
    <w:qFormat/>
    <w:uiPriority w:val="0"/>
  </w:style>
  <w:style w:type="character" w:customStyle="1" w:styleId="901">
    <w:name w:val="T1681"/>
    <w:qFormat/>
    <w:uiPriority w:val="0"/>
  </w:style>
  <w:style w:type="character" w:customStyle="1" w:styleId="902">
    <w:name w:val="T1691"/>
    <w:qFormat/>
    <w:uiPriority w:val="0"/>
  </w:style>
  <w:style w:type="character" w:customStyle="1" w:styleId="903">
    <w:name w:val="T1701"/>
    <w:qFormat/>
    <w:uiPriority w:val="0"/>
  </w:style>
  <w:style w:type="character" w:customStyle="1" w:styleId="904">
    <w:name w:val="T1712"/>
    <w:qFormat/>
    <w:uiPriority w:val="0"/>
  </w:style>
  <w:style w:type="character" w:customStyle="1" w:styleId="905">
    <w:name w:val="T172"/>
    <w:qFormat/>
    <w:uiPriority w:val="0"/>
    <w:rPr>
      <w:rFonts w:ascii="Symbol" w:hAnsi="Symbol" w:cs="Symbol"/>
    </w:rPr>
  </w:style>
  <w:style w:type="character" w:customStyle="1" w:styleId="906">
    <w:name w:val="T173"/>
    <w:qFormat/>
    <w:uiPriority w:val="0"/>
    <w:rPr>
      <w:rFonts w:ascii="Courier New" w:hAnsi="Courier New" w:cs="Courier New"/>
    </w:rPr>
  </w:style>
  <w:style w:type="character" w:customStyle="1" w:styleId="907">
    <w:name w:val="T174"/>
    <w:qFormat/>
    <w:uiPriority w:val="0"/>
    <w:rPr>
      <w:rFonts w:ascii="Wingdings" w:hAnsi="Wingdings" w:cs="Wingdings"/>
    </w:rPr>
  </w:style>
  <w:style w:type="character" w:customStyle="1" w:styleId="908">
    <w:name w:val="T175"/>
    <w:qFormat/>
    <w:uiPriority w:val="0"/>
    <w:rPr>
      <w:rFonts w:ascii="Symbol" w:hAnsi="Symbol" w:cs="Symbol"/>
    </w:rPr>
  </w:style>
  <w:style w:type="character" w:customStyle="1" w:styleId="909">
    <w:name w:val="T176"/>
    <w:qFormat/>
    <w:uiPriority w:val="0"/>
    <w:rPr>
      <w:rFonts w:ascii="Courier New" w:hAnsi="Courier New" w:cs="Courier New"/>
    </w:rPr>
  </w:style>
  <w:style w:type="character" w:customStyle="1" w:styleId="910">
    <w:name w:val="T177"/>
    <w:qFormat/>
    <w:uiPriority w:val="0"/>
    <w:rPr>
      <w:rFonts w:ascii="Wingdings" w:hAnsi="Wingdings" w:cs="Wingdings"/>
    </w:rPr>
  </w:style>
  <w:style w:type="character" w:customStyle="1" w:styleId="911">
    <w:name w:val="T178"/>
    <w:qFormat/>
    <w:uiPriority w:val="0"/>
    <w:rPr>
      <w:rFonts w:ascii="Symbol" w:hAnsi="Symbol" w:cs="Symbol"/>
    </w:rPr>
  </w:style>
  <w:style w:type="character" w:customStyle="1" w:styleId="912">
    <w:name w:val="T179"/>
    <w:qFormat/>
    <w:uiPriority w:val="0"/>
    <w:rPr>
      <w:rFonts w:ascii="Courier New" w:hAnsi="Courier New" w:cs="Courier New"/>
    </w:rPr>
  </w:style>
  <w:style w:type="character" w:customStyle="1" w:styleId="913">
    <w:name w:val="T180"/>
    <w:qFormat/>
    <w:uiPriority w:val="0"/>
    <w:rPr>
      <w:rFonts w:ascii="Wingdings" w:hAnsi="Wingdings" w:cs="Wingdings"/>
    </w:rPr>
  </w:style>
  <w:style w:type="character" w:customStyle="1" w:styleId="914">
    <w:name w:val="T181"/>
    <w:qFormat/>
    <w:uiPriority w:val="0"/>
  </w:style>
  <w:style w:type="character" w:customStyle="1" w:styleId="915">
    <w:name w:val="T182"/>
    <w:qFormat/>
    <w:uiPriority w:val="0"/>
  </w:style>
  <w:style w:type="character" w:customStyle="1" w:styleId="916">
    <w:name w:val="T183"/>
    <w:qFormat/>
    <w:uiPriority w:val="0"/>
  </w:style>
  <w:style w:type="character" w:customStyle="1" w:styleId="917">
    <w:name w:val="T184"/>
    <w:qFormat/>
    <w:uiPriority w:val="0"/>
  </w:style>
  <w:style w:type="character" w:customStyle="1" w:styleId="918">
    <w:name w:val="T185"/>
    <w:qFormat/>
    <w:uiPriority w:val="0"/>
  </w:style>
  <w:style w:type="character" w:customStyle="1" w:styleId="919">
    <w:name w:val="T186"/>
    <w:qFormat/>
    <w:uiPriority w:val="0"/>
  </w:style>
  <w:style w:type="character" w:customStyle="1" w:styleId="920">
    <w:name w:val="T187"/>
    <w:qFormat/>
    <w:uiPriority w:val="0"/>
  </w:style>
  <w:style w:type="character" w:customStyle="1" w:styleId="921">
    <w:name w:val="T188"/>
    <w:qFormat/>
    <w:uiPriority w:val="0"/>
  </w:style>
  <w:style w:type="character" w:customStyle="1" w:styleId="922">
    <w:name w:val="T189"/>
    <w:qFormat/>
    <w:uiPriority w:val="0"/>
  </w:style>
  <w:style w:type="character" w:customStyle="1" w:styleId="923">
    <w:name w:val="T190"/>
    <w:qFormat/>
    <w:uiPriority w:val="0"/>
  </w:style>
  <w:style w:type="character" w:customStyle="1" w:styleId="924">
    <w:name w:val="T191"/>
    <w:qFormat/>
    <w:uiPriority w:val="0"/>
  </w:style>
  <w:style w:type="character" w:customStyle="1" w:styleId="925">
    <w:name w:val="T192"/>
    <w:qFormat/>
    <w:uiPriority w:val="0"/>
  </w:style>
  <w:style w:type="character" w:customStyle="1" w:styleId="926">
    <w:name w:val="T193"/>
    <w:qFormat/>
    <w:uiPriority w:val="0"/>
  </w:style>
  <w:style w:type="character" w:customStyle="1" w:styleId="927">
    <w:name w:val="T194"/>
    <w:qFormat/>
    <w:uiPriority w:val="0"/>
  </w:style>
  <w:style w:type="character" w:customStyle="1" w:styleId="928">
    <w:name w:val="T195"/>
    <w:qFormat/>
    <w:uiPriority w:val="0"/>
  </w:style>
  <w:style w:type="character" w:customStyle="1" w:styleId="929">
    <w:name w:val="T196"/>
    <w:qFormat/>
    <w:uiPriority w:val="0"/>
  </w:style>
  <w:style w:type="character" w:customStyle="1" w:styleId="930">
    <w:name w:val="T197"/>
    <w:qFormat/>
    <w:uiPriority w:val="0"/>
  </w:style>
  <w:style w:type="character" w:customStyle="1" w:styleId="931">
    <w:name w:val="T198"/>
    <w:qFormat/>
    <w:uiPriority w:val="0"/>
  </w:style>
  <w:style w:type="character" w:customStyle="1" w:styleId="932">
    <w:name w:val="T199"/>
    <w:qFormat/>
    <w:uiPriority w:val="0"/>
  </w:style>
  <w:style w:type="character" w:customStyle="1" w:styleId="933">
    <w:name w:val="T214"/>
    <w:qFormat/>
    <w:uiPriority w:val="0"/>
  </w:style>
  <w:style w:type="character" w:customStyle="1" w:styleId="934">
    <w:name w:val="T314"/>
    <w:qFormat/>
    <w:uiPriority w:val="0"/>
  </w:style>
  <w:style w:type="character" w:customStyle="1" w:styleId="935">
    <w:name w:val="T414"/>
    <w:qFormat/>
    <w:uiPriority w:val="0"/>
  </w:style>
  <w:style w:type="character" w:customStyle="1" w:styleId="936">
    <w:name w:val="T514"/>
    <w:qFormat/>
    <w:uiPriority w:val="0"/>
  </w:style>
  <w:style w:type="character" w:customStyle="1" w:styleId="937">
    <w:name w:val="T614"/>
    <w:qFormat/>
    <w:uiPriority w:val="0"/>
  </w:style>
  <w:style w:type="character" w:customStyle="1" w:styleId="938">
    <w:name w:val="T714"/>
    <w:qFormat/>
    <w:uiPriority w:val="0"/>
  </w:style>
  <w:style w:type="character" w:customStyle="1" w:styleId="939">
    <w:name w:val="T814"/>
    <w:qFormat/>
    <w:uiPriority w:val="0"/>
  </w:style>
  <w:style w:type="character" w:customStyle="1" w:styleId="940">
    <w:name w:val="T914"/>
    <w:qFormat/>
    <w:uiPriority w:val="0"/>
  </w:style>
  <w:style w:type="character" w:customStyle="1" w:styleId="941">
    <w:name w:val="T1014"/>
    <w:qFormat/>
    <w:uiPriority w:val="0"/>
  </w:style>
  <w:style w:type="character" w:customStyle="1" w:styleId="942">
    <w:name w:val="T1114"/>
    <w:qFormat/>
    <w:uiPriority w:val="0"/>
  </w:style>
  <w:style w:type="character" w:customStyle="1" w:styleId="943">
    <w:name w:val="T1214"/>
    <w:qFormat/>
    <w:uiPriority w:val="0"/>
  </w:style>
  <w:style w:type="character" w:customStyle="1" w:styleId="944">
    <w:name w:val="T1314"/>
    <w:qFormat/>
    <w:uiPriority w:val="0"/>
  </w:style>
  <w:style w:type="character" w:customStyle="1" w:styleId="945">
    <w:name w:val="T1414"/>
    <w:qFormat/>
    <w:uiPriority w:val="0"/>
  </w:style>
  <w:style w:type="character" w:customStyle="1" w:styleId="946">
    <w:name w:val="T1514"/>
    <w:qFormat/>
    <w:uiPriority w:val="0"/>
  </w:style>
  <w:style w:type="character" w:customStyle="1" w:styleId="947">
    <w:name w:val="T1613"/>
    <w:qFormat/>
    <w:uiPriority w:val="0"/>
  </w:style>
  <w:style w:type="character" w:customStyle="1" w:styleId="948">
    <w:name w:val="T1710"/>
    <w:qFormat/>
    <w:uiPriority w:val="0"/>
  </w:style>
  <w:style w:type="character" w:customStyle="1" w:styleId="949">
    <w:name w:val="T1810"/>
    <w:qFormat/>
    <w:uiPriority w:val="0"/>
  </w:style>
  <w:style w:type="character" w:customStyle="1" w:styleId="950">
    <w:name w:val="T1910"/>
    <w:qFormat/>
    <w:uiPriority w:val="0"/>
    <w:rPr>
      <w:rFonts w:ascii="Symbol" w:hAnsi="Symbol" w:cs="Symbol"/>
    </w:rPr>
  </w:style>
  <w:style w:type="character" w:customStyle="1" w:styleId="951">
    <w:name w:val="T203"/>
    <w:qFormat/>
    <w:uiPriority w:val="0"/>
    <w:rPr>
      <w:rFonts w:ascii="Courier New" w:hAnsi="Courier New" w:cs="Courier New"/>
    </w:rPr>
  </w:style>
  <w:style w:type="character" w:customStyle="1" w:styleId="952">
    <w:name w:val="T215"/>
    <w:qFormat/>
    <w:uiPriority w:val="0"/>
    <w:rPr>
      <w:rFonts w:ascii="Wingdings" w:hAnsi="Wingdings" w:cs="Wingdings"/>
    </w:rPr>
  </w:style>
  <w:style w:type="character" w:customStyle="1" w:styleId="953">
    <w:name w:val="T223"/>
    <w:qFormat/>
    <w:uiPriority w:val="0"/>
    <w:rPr>
      <w:rFonts w:ascii="Symbol" w:hAnsi="Symbol" w:cs="Symbol"/>
    </w:rPr>
  </w:style>
  <w:style w:type="character" w:customStyle="1" w:styleId="954">
    <w:name w:val="T233"/>
    <w:qFormat/>
    <w:uiPriority w:val="0"/>
    <w:rPr>
      <w:rFonts w:ascii="Courier New" w:hAnsi="Courier New" w:cs="Courier New"/>
    </w:rPr>
  </w:style>
  <w:style w:type="character" w:customStyle="1" w:styleId="955">
    <w:name w:val="T243"/>
    <w:qFormat/>
    <w:uiPriority w:val="0"/>
    <w:rPr>
      <w:rFonts w:ascii="Wingdings" w:hAnsi="Wingdings" w:cs="Wingdings"/>
    </w:rPr>
  </w:style>
  <w:style w:type="character" w:customStyle="1" w:styleId="956">
    <w:name w:val="T253"/>
    <w:qFormat/>
    <w:uiPriority w:val="0"/>
    <w:rPr>
      <w:rFonts w:ascii="Symbol" w:hAnsi="Symbol" w:cs="Symbol"/>
    </w:rPr>
  </w:style>
  <w:style w:type="character" w:customStyle="1" w:styleId="957">
    <w:name w:val="T263"/>
    <w:qFormat/>
    <w:uiPriority w:val="0"/>
    <w:rPr>
      <w:rFonts w:ascii="Courier New" w:hAnsi="Courier New" w:cs="Courier New"/>
    </w:rPr>
  </w:style>
  <w:style w:type="character" w:customStyle="1" w:styleId="958">
    <w:name w:val="T273"/>
    <w:qFormat/>
    <w:uiPriority w:val="0"/>
    <w:rPr>
      <w:rFonts w:ascii="Wingdings" w:hAnsi="Wingdings" w:cs="Wingdings"/>
    </w:rPr>
  </w:style>
  <w:style w:type="character" w:customStyle="1" w:styleId="959">
    <w:name w:val="T283"/>
    <w:qFormat/>
    <w:uiPriority w:val="0"/>
    <w:rPr>
      <w:rFonts w:ascii="Wingdings" w:hAnsi="Wingdings" w:cs="Wingdings"/>
    </w:rPr>
  </w:style>
  <w:style w:type="character" w:customStyle="1" w:styleId="960">
    <w:name w:val="T293"/>
    <w:qFormat/>
    <w:uiPriority w:val="0"/>
  </w:style>
  <w:style w:type="character" w:customStyle="1" w:styleId="961">
    <w:name w:val="T303"/>
    <w:qFormat/>
    <w:uiPriority w:val="0"/>
  </w:style>
  <w:style w:type="character" w:customStyle="1" w:styleId="962">
    <w:name w:val="T315"/>
    <w:qFormat/>
    <w:uiPriority w:val="0"/>
  </w:style>
  <w:style w:type="character" w:customStyle="1" w:styleId="963">
    <w:name w:val="T323"/>
    <w:qFormat/>
    <w:uiPriority w:val="0"/>
  </w:style>
  <w:style w:type="character" w:customStyle="1" w:styleId="964">
    <w:name w:val="T333"/>
    <w:qFormat/>
    <w:uiPriority w:val="0"/>
  </w:style>
  <w:style w:type="character" w:customStyle="1" w:styleId="965">
    <w:name w:val="T343"/>
    <w:qFormat/>
    <w:uiPriority w:val="0"/>
  </w:style>
  <w:style w:type="character" w:customStyle="1" w:styleId="966">
    <w:name w:val="T353"/>
    <w:qFormat/>
    <w:uiPriority w:val="0"/>
  </w:style>
  <w:style w:type="character" w:customStyle="1" w:styleId="967">
    <w:name w:val="T363"/>
    <w:qFormat/>
    <w:uiPriority w:val="0"/>
  </w:style>
  <w:style w:type="character" w:customStyle="1" w:styleId="968">
    <w:name w:val="T373"/>
    <w:qFormat/>
    <w:uiPriority w:val="0"/>
  </w:style>
  <w:style w:type="character" w:customStyle="1" w:styleId="969">
    <w:name w:val="T383"/>
    <w:qFormat/>
    <w:uiPriority w:val="0"/>
  </w:style>
  <w:style w:type="character" w:customStyle="1" w:styleId="970">
    <w:name w:val="T393"/>
    <w:qFormat/>
    <w:uiPriority w:val="0"/>
  </w:style>
  <w:style w:type="character" w:customStyle="1" w:styleId="971">
    <w:name w:val="T403"/>
    <w:qFormat/>
    <w:uiPriority w:val="0"/>
  </w:style>
  <w:style w:type="character" w:customStyle="1" w:styleId="972">
    <w:name w:val="T415"/>
    <w:qFormat/>
    <w:uiPriority w:val="0"/>
  </w:style>
  <w:style w:type="character" w:customStyle="1" w:styleId="973">
    <w:name w:val="T423"/>
    <w:qFormat/>
    <w:uiPriority w:val="0"/>
  </w:style>
  <w:style w:type="character" w:customStyle="1" w:styleId="974">
    <w:name w:val="T433"/>
    <w:qFormat/>
    <w:uiPriority w:val="0"/>
  </w:style>
  <w:style w:type="character" w:customStyle="1" w:styleId="975">
    <w:name w:val="T443"/>
    <w:qFormat/>
    <w:uiPriority w:val="0"/>
  </w:style>
  <w:style w:type="character" w:customStyle="1" w:styleId="976">
    <w:name w:val="T453"/>
    <w:qFormat/>
    <w:uiPriority w:val="0"/>
  </w:style>
  <w:style w:type="character" w:customStyle="1" w:styleId="977">
    <w:name w:val="T463"/>
    <w:qFormat/>
    <w:uiPriority w:val="0"/>
    <w:rPr>
      <w:rFonts w:ascii="Symbol" w:hAnsi="Symbol" w:cs="Symbol"/>
    </w:rPr>
  </w:style>
  <w:style w:type="character" w:customStyle="1" w:styleId="978">
    <w:name w:val="T473"/>
    <w:qFormat/>
    <w:uiPriority w:val="0"/>
    <w:rPr>
      <w:rFonts w:ascii="OpenSymbol" w:hAnsi="OpenSymbol" w:cs="OpenSymbol"/>
    </w:rPr>
  </w:style>
  <w:style w:type="character" w:customStyle="1" w:styleId="979">
    <w:name w:val="T483"/>
    <w:qFormat/>
    <w:uiPriority w:val="0"/>
    <w:rPr>
      <w:rFonts w:ascii="OpenSymbol" w:hAnsi="OpenSymbol" w:cs="OpenSymbol"/>
    </w:rPr>
  </w:style>
  <w:style w:type="character" w:customStyle="1" w:styleId="980">
    <w:name w:val="T493"/>
    <w:qFormat/>
    <w:uiPriority w:val="0"/>
    <w:rPr>
      <w:rFonts w:ascii="Symbol" w:hAnsi="Symbol" w:cs="Symbol"/>
    </w:rPr>
  </w:style>
  <w:style w:type="character" w:customStyle="1" w:styleId="981">
    <w:name w:val="T503"/>
    <w:qFormat/>
    <w:uiPriority w:val="0"/>
    <w:rPr>
      <w:rFonts w:ascii="OpenSymbol" w:hAnsi="OpenSymbol" w:cs="OpenSymbol"/>
    </w:rPr>
  </w:style>
  <w:style w:type="character" w:customStyle="1" w:styleId="982">
    <w:name w:val="T515"/>
    <w:qFormat/>
    <w:uiPriority w:val="0"/>
    <w:rPr>
      <w:rFonts w:ascii="OpenSymbol" w:hAnsi="OpenSymbol" w:cs="OpenSymbol"/>
    </w:rPr>
  </w:style>
  <w:style w:type="character" w:customStyle="1" w:styleId="983">
    <w:name w:val="T523"/>
    <w:qFormat/>
    <w:uiPriority w:val="0"/>
    <w:rPr>
      <w:rFonts w:ascii="Symbol" w:hAnsi="Symbol" w:cs="Symbol"/>
    </w:rPr>
  </w:style>
  <w:style w:type="character" w:customStyle="1" w:styleId="984">
    <w:name w:val="T533"/>
    <w:qFormat/>
    <w:uiPriority w:val="0"/>
    <w:rPr>
      <w:rFonts w:ascii="OpenSymbol" w:hAnsi="OpenSymbol" w:cs="OpenSymbol"/>
    </w:rPr>
  </w:style>
  <w:style w:type="character" w:customStyle="1" w:styleId="985">
    <w:name w:val="T543"/>
    <w:qFormat/>
    <w:uiPriority w:val="0"/>
    <w:rPr>
      <w:rFonts w:ascii="OpenSymbol" w:hAnsi="OpenSymbol" w:cs="OpenSymbol"/>
    </w:rPr>
  </w:style>
  <w:style w:type="character" w:customStyle="1" w:styleId="986">
    <w:name w:val="T553"/>
    <w:qFormat/>
    <w:uiPriority w:val="0"/>
    <w:rPr>
      <w:rFonts w:ascii="Symbol" w:hAnsi="Symbol" w:cs="Symbol"/>
    </w:rPr>
  </w:style>
  <w:style w:type="character" w:customStyle="1" w:styleId="987">
    <w:name w:val="T563"/>
    <w:qFormat/>
    <w:uiPriority w:val="0"/>
    <w:rPr>
      <w:rFonts w:ascii="Courier New" w:hAnsi="Courier New" w:cs="Courier New"/>
    </w:rPr>
  </w:style>
  <w:style w:type="character" w:customStyle="1" w:styleId="988">
    <w:name w:val="T573"/>
    <w:qFormat/>
    <w:uiPriority w:val="0"/>
    <w:rPr>
      <w:rFonts w:ascii="Wingdings" w:hAnsi="Wingdings" w:cs="Wingdings"/>
    </w:rPr>
  </w:style>
  <w:style w:type="character" w:customStyle="1" w:styleId="989">
    <w:name w:val="T583"/>
    <w:qFormat/>
    <w:uiPriority w:val="0"/>
    <w:rPr>
      <w:rFonts w:ascii="Symbol" w:hAnsi="Symbol" w:cs="Symbol"/>
    </w:rPr>
  </w:style>
  <w:style w:type="character" w:customStyle="1" w:styleId="990">
    <w:name w:val="T593"/>
    <w:qFormat/>
    <w:uiPriority w:val="0"/>
    <w:rPr>
      <w:rFonts w:ascii="Courier New" w:hAnsi="Courier New" w:cs="Courier New"/>
    </w:rPr>
  </w:style>
  <w:style w:type="character" w:customStyle="1" w:styleId="991">
    <w:name w:val="T603"/>
    <w:qFormat/>
    <w:uiPriority w:val="0"/>
    <w:rPr>
      <w:rFonts w:ascii="Wingdings" w:hAnsi="Wingdings" w:cs="Wingdings"/>
    </w:rPr>
  </w:style>
  <w:style w:type="character" w:customStyle="1" w:styleId="992">
    <w:name w:val="T615"/>
    <w:qFormat/>
    <w:uiPriority w:val="0"/>
    <w:rPr>
      <w:rFonts w:ascii="Symbol" w:hAnsi="Symbol" w:cs="Symbol"/>
    </w:rPr>
  </w:style>
  <w:style w:type="character" w:customStyle="1" w:styleId="993">
    <w:name w:val="T623"/>
    <w:qFormat/>
    <w:uiPriority w:val="0"/>
    <w:rPr>
      <w:rFonts w:ascii="Courier New" w:hAnsi="Courier New" w:cs="Courier New"/>
    </w:rPr>
  </w:style>
  <w:style w:type="character" w:customStyle="1" w:styleId="994">
    <w:name w:val="T633"/>
    <w:qFormat/>
    <w:uiPriority w:val="0"/>
    <w:rPr>
      <w:rFonts w:ascii="Wingdings" w:hAnsi="Wingdings" w:cs="Wingdings"/>
    </w:rPr>
  </w:style>
  <w:style w:type="character" w:customStyle="1" w:styleId="995">
    <w:name w:val="T643"/>
    <w:qFormat/>
    <w:uiPriority w:val="0"/>
  </w:style>
  <w:style w:type="character" w:customStyle="1" w:styleId="996">
    <w:name w:val="T653"/>
    <w:qFormat/>
    <w:uiPriority w:val="0"/>
  </w:style>
  <w:style w:type="character" w:customStyle="1" w:styleId="997">
    <w:name w:val="T663"/>
    <w:qFormat/>
    <w:uiPriority w:val="0"/>
  </w:style>
  <w:style w:type="character" w:customStyle="1" w:styleId="998">
    <w:name w:val="T673"/>
    <w:qFormat/>
    <w:uiPriority w:val="0"/>
  </w:style>
  <w:style w:type="character" w:customStyle="1" w:styleId="999">
    <w:name w:val="T683"/>
    <w:qFormat/>
    <w:uiPriority w:val="0"/>
  </w:style>
  <w:style w:type="character" w:customStyle="1" w:styleId="1000">
    <w:name w:val="T693"/>
    <w:qFormat/>
    <w:uiPriority w:val="0"/>
  </w:style>
  <w:style w:type="character" w:customStyle="1" w:styleId="1001">
    <w:name w:val="T703"/>
    <w:qFormat/>
    <w:uiPriority w:val="0"/>
  </w:style>
  <w:style w:type="character" w:customStyle="1" w:styleId="1002">
    <w:name w:val="T715"/>
    <w:qFormat/>
    <w:uiPriority w:val="0"/>
  </w:style>
  <w:style w:type="character" w:customStyle="1" w:styleId="1003">
    <w:name w:val="T723"/>
    <w:qFormat/>
    <w:uiPriority w:val="0"/>
  </w:style>
  <w:style w:type="character" w:customStyle="1" w:styleId="1004">
    <w:name w:val="T733"/>
    <w:qFormat/>
    <w:uiPriority w:val="0"/>
  </w:style>
  <w:style w:type="character" w:customStyle="1" w:styleId="1005">
    <w:name w:val="T743"/>
    <w:qFormat/>
    <w:uiPriority w:val="0"/>
  </w:style>
  <w:style w:type="character" w:customStyle="1" w:styleId="1006">
    <w:name w:val="T753"/>
    <w:qFormat/>
    <w:uiPriority w:val="0"/>
  </w:style>
  <w:style w:type="character" w:customStyle="1" w:styleId="1007">
    <w:name w:val="T763"/>
    <w:qFormat/>
    <w:uiPriority w:val="0"/>
  </w:style>
  <w:style w:type="character" w:customStyle="1" w:styleId="1008">
    <w:name w:val="T773"/>
    <w:qFormat/>
    <w:uiPriority w:val="0"/>
  </w:style>
  <w:style w:type="character" w:customStyle="1" w:styleId="1009">
    <w:name w:val="T783"/>
    <w:qFormat/>
    <w:uiPriority w:val="0"/>
  </w:style>
  <w:style w:type="character" w:customStyle="1" w:styleId="1010">
    <w:name w:val="T793"/>
    <w:qFormat/>
    <w:uiPriority w:val="0"/>
  </w:style>
  <w:style w:type="character" w:customStyle="1" w:styleId="1011">
    <w:name w:val="T803"/>
    <w:qFormat/>
    <w:uiPriority w:val="0"/>
  </w:style>
  <w:style w:type="character" w:customStyle="1" w:styleId="1012">
    <w:name w:val="T815"/>
    <w:qFormat/>
    <w:uiPriority w:val="0"/>
  </w:style>
  <w:style w:type="character" w:customStyle="1" w:styleId="1013">
    <w:name w:val="T823"/>
    <w:qFormat/>
    <w:uiPriority w:val="0"/>
  </w:style>
  <w:style w:type="character" w:customStyle="1" w:styleId="1014">
    <w:name w:val="T833"/>
    <w:qFormat/>
    <w:uiPriority w:val="0"/>
  </w:style>
  <w:style w:type="character" w:customStyle="1" w:styleId="1015">
    <w:name w:val="T843"/>
    <w:qFormat/>
    <w:uiPriority w:val="0"/>
  </w:style>
  <w:style w:type="character" w:customStyle="1" w:styleId="1016">
    <w:name w:val="T853"/>
    <w:qFormat/>
    <w:uiPriority w:val="0"/>
  </w:style>
  <w:style w:type="character" w:customStyle="1" w:styleId="1017">
    <w:name w:val="T863"/>
    <w:qFormat/>
    <w:uiPriority w:val="0"/>
  </w:style>
  <w:style w:type="character" w:customStyle="1" w:styleId="1018">
    <w:name w:val="T873"/>
    <w:qFormat/>
    <w:uiPriority w:val="0"/>
  </w:style>
  <w:style w:type="character" w:customStyle="1" w:styleId="1019">
    <w:name w:val="T883"/>
    <w:qFormat/>
    <w:uiPriority w:val="0"/>
  </w:style>
  <w:style w:type="character" w:customStyle="1" w:styleId="1020">
    <w:name w:val="T893"/>
    <w:qFormat/>
    <w:uiPriority w:val="0"/>
  </w:style>
  <w:style w:type="character" w:customStyle="1" w:styleId="1021">
    <w:name w:val="T903"/>
    <w:qFormat/>
    <w:uiPriority w:val="0"/>
  </w:style>
  <w:style w:type="character" w:customStyle="1" w:styleId="1022">
    <w:name w:val="T915"/>
    <w:qFormat/>
    <w:uiPriority w:val="0"/>
  </w:style>
  <w:style w:type="character" w:customStyle="1" w:styleId="1023">
    <w:name w:val="T923"/>
    <w:qFormat/>
    <w:uiPriority w:val="0"/>
  </w:style>
  <w:style w:type="character" w:customStyle="1" w:styleId="1024">
    <w:name w:val="T933"/>
    <w:qFormat/>
    <w:uiPriority w:val="0"/>
  </w:style>
  <w:style w:type="character" w:customStyle="1" w:styleId="1025">
    <w:name w:val="T943"/>
    <w:qFormat/>
    <w:uiPriority w:val="0"/>
  </w:style>
  <w:style w:type="character" w:customStyle="1" w:styleId="1026">
    <w:name w:val="T953"/>
    <w:qFormat/>
    <w:uiPriority w:val="0"/>
  </w:style>
  <w:style w:type="character" w:customStyle="1" w:styleId="1027">
    <w:name w:val="T963"/>
    <w:qFormat/>
    <w:uiPriority w:val="0"/>
  </w:style>
  <w:style w:type="character" w:customStyle="1" w:styleId="1028">
    <w:name w:val="T973"/>
    <w:qFormat/>
    <w:uiPriority w:val="0"/>
  </w:style>
  <w:style w:type="character" w:customStyle="1" w:styleId="1029">
    <w:name w:val="T983"/>
    <w:qFormat/>
    <w:uiPriority w:val="0"/>
  </w:style>
  <w:style w:type="character" w:customStyle="1" w:styleId="1030">
    <w:name w:val="T993"/>
    <w:qFormat/>
    <w:uiPriority w:val="0"/>
  </w:style>
  <w:style w:type="character" w:customStyle="1" w:styleId="1031">
    <w:name w:val="T1003"/>
    <w:qFormat/>
    <w:uiPriority w:val="0"/>
  </w:style>
  <w:style w:type="character" w:customStyle="1" w:styleId="1032">
    <w:name w:val="T1015"/>
    <w:qFormat/>
    <w:uiPriority w:val="0"/>
  </w:style>
  <w:style w:type="character" w:customStyle="1" w:styleId="1033">
    <w:name w:val="T1023"/>
    <w:qFormat/>
    <w:uiPriority w:val="0"/>
  </w:style>
  <w:style w:type="character" w:customStyle="1" w:styleId="1034">
    <w:name w:val="T1033"/>
    <w:qFormat/>
    <w:uiPriority w:val="0"/>
  </w:style>
  <w:style w:type="character" w:customStyle="1" w:styleId="1035">
    <w:name w:val="T1043"/>
    <w:qFormat/>
    <w:uiPriority w:val="0"/>
  </w:style>
  <w:style w:type="character" w:customStyle="1" w:styleId="1036">
    <w:name w:val="T1053"/>
    <w:qFormat/>
    <w:uiPriority w:val="0"/>
  </w:style>
  <w:style w:type="character" w:customStyle="1" w:styleId="1037">
    <w:name w:val="T1063"/>
    <w:qFormat/>
    <w:uiPriority w:val="0"/>
  </w:style>
  <w:style w:type="character" w:customStyle="1" w:styleId="1038">
    <w:name w:val="T1073"/>
    <w:qFormat/>
    <w:uiPriority w:val="0"/>
  </w:style>
  <w:style w:type="character" w:customStyle="1" w:styleId="1039">
    <w:name w:val="T1083"/>
    <w:qFormat/>
    <w:uiPriority w:val="0"/>
  </w:style>
  <w:style w:type="character" w:customStyle="1" w:styleId="1040">
    <w:name w:val="T1093"/>
    <w:qFormat/>
    <w:uiPriority w:val="0"/>
  </w:style>
  <w:style w:type="character" w:customStyle="1" w:styleId="1041">
    <w:name w:val="T1103"/>
    <w:qFormat/>
    <w:uiPriority w:val="0"/>
  </w:style>
  <w:style w:type="character" w:customStyle="1" w:styleId="1042">
    <w:name w:val="T1115"/>
    <w:qFormat/>
    <w:uiPriority w:val="0"/>
  </w:style>
  <w:style w:type="character" w:customStyle="1" w:styleId="1043">
    <w:name w:val="T1123"/>
    <w:qFormat/>
    <w:uiPriority w:val="0"/>
  </w:style>
  <w:style w:type="character" w:customStyle="1" w:styleId="1044">
    <w:name w:val="T1133"/>
    <w:qFormat/>
    <w:uiPriority w:val="0"/>
  </w:style>
  <w:style w:type="character" w:customStyle="1" w:styleId="1045">
    <w:name w:val="T1143"/>
    <w:qFormat/>
    <w:uiPriority w:val="0"/>
  </w:style>
  <w:style w:type="character" w:customStyle="1" w:styleId="1046">
    <w:name w:val="T1153"/>
    <w:qFormat/>
    <w:uiPriority w:val="0"/>
  </w:style>
  <w:style w:type="character" w:customStyle="1" w:styleId="1047">
    <w:name w:val="T1163"/>
    <w:qFormat/>
    <w:uiPriority w:val="0"/>
  </w:style>
  <w:style w:type="character" w:customStyle="1" w:styleId="1048">
    <w:name w:val="T1173"/>
    <w:qFormat/>
    <w:uiPriority w:val="0"/>
  </w:style>
  <w:style w:type="character" w:customStyle="1" w:styleId="1049">
    <w:name w:val="T1183"/>
    <w:qFormat/>
    <w:uiPriority w:val="0"/>
  </w:style>
  <w:style w:type="character" w:customStyle="1" w:styleId="1050">
    <w:name w:val="T1193"/>
    <w:qFormat/>
    <w:uiPriority w:val="0"/>
  </w:style>
  <w:style w:type="character" w:customStyle="1" w:styleId="1051">
    <w:name w:val="T1203"/>
    <w:qFormat/>
    <w:uiPriority w:val="0"/>
  </w:style>
  <w:style w:type="character" w:customStyle="1" w:styleId="1052">
    <w:name w:val="T1215"/>
    <w:qFormat/>
    <w:uiPriority w:val="0"/>
  </w:style>
  <w:style w:type="character" w:customStyle="1" w:styleId="1053">
    <w:name w:val="T1223"/>
    <w:qFormat/>
    <w:uiPriority w:val="0"/>
  </w:style>
  <w:style w:type="character" w:customStyle="1" w:styleId="1054">
    <w:name w:val="T1233"/>
    <w:qFormat/>
    <w:uiPriority w:val="0"/>
  </w:style>
  <w:style w:type="character" w:customStyle="1" w:styleId="1055">
    <w:name w:val="T1243"/>
    <w:qFormat/>
    <w:uiPriority w:val="0"/>
  </w:style>
  <w:style w:type="character" w:customStyle="1" w:styleId="1056">
    <w:name w:val="T1253"/>
    <w:qFormat/>
    <w:uiPriority w:val="0"/>
  </w:style>
  <w:style w:type="character" w:customStyle="1" w:styleId="1057">
    <w:name w:val="T1263"/>
    <w:qFormat/>
    <w:uiPriority w:val="0"/>
  </w:style>
  <w:style w:type="character" w:customStyle="1" w:styleId="1058">
    <w:name w:val="T1273"/>
    <w:qFormat/>
    <w:uiPriority w:val="0"/>
  </w:style>
  <w:style w:type="character" w:customStyle="1" w:styleId="1059">
    <w:name w:val="T1283"/>
    <w:qFormat/>
    <w:uiPriority w:val="0"/>
  </w:style>
  <w:style w:type="character" w:customStyle="1" w:styleId="1060">
    <w:name w:val="T1293"/>
    <w:qFormat/>
    <w:uiPriority w:val="0"/>
  </w:style>
  <w:style w:type="character" w:customStyle="1" w:styleId="1061">
    <w:name w:val="T1303"/>
    <w:qFormat/>
    <w:uiPriority w:val="0"/>
  </w:style>
  <w:style w:type="character" w:customStyle="1" w:styleId="1062">
    <w:name w:val="T1315"/>
    <w:qFormat/>
    <w:uiPriority w:val="0"/>
  </w:style>
  <w:style w:type="character" w:customStyle="1" w:styleId="1063">
    <w:name w:val="T1323"/>
    <w:qFormat/>
    <w:uiPriority w:val="0"/>
  </w:style>
  <w:style w:type="character" w:customStyle="1" w:styleId="1064">
    <w:name w:val="T1333"/>
    <w:qFormat/>
    <w:uiPriority w:val="0"/>
  </w:style>
  <w:style w:type="character" w:customStyle="1" w:styleId="1065">
    <w:name w:val="T1343"/>
    <w:qFormat/>
    <w:uiPriority w:val="0"/>
  </w:style>
  <w:style w:type="character" w:customStyle="1" w:styleId="1066">
    <w:name w:val="T1353"/>
    <w:qFormat/>
    <w:uiPriority w:val="0"/>
  </w:style>
  <w:style w:type="character" w:customStyle="1" w:styleId="1067">
    <w:name w:val="T1363"/>
    <w:qFormat/>
    <w:uiPriority w:val="0"/>
  </w:style>
  <w:style w:type="character" w:customStyle="1" w:styleId="1068">
    <w:name w:val="T1373"/>
    <w:qFormat/>
    <w:uiPriority w:val="0"/>
  </w:style>
  <w:style w:type="character" w:customStyle="1" w:styleId="1069">
    <w:name w:val="T1383"/>
    <w:qFormat/>
    <w:uiPriority w:val="0"/>
  </w:style>
  <w:style w:type="character" w:customStyle="1" w:styleId="1070">
    <w:name w:val="T1393"/>
    <w:qFormat/>
    <w:uiPriority w:val="0"/>
  </w:style>
  <w:style w:type="character" w:customStyle="1" w:styleId="1071">
    <w:name w:val="T1403"/>
    <w:qFormat/>
    <w:uiPriority w:val="0"/>
  </w:style>
  <w:style w:type="character" w:customStyle="1" w:styleId="1072">
    <w:name w:val="T1415"/>
    <w:qFormat/>
    <w:uiPriority w:val="0"/>
  </w:style>
  <w:style w:type="character" w:customStyle="1" w:styleId="1073">
    <w:name w:val="T1423"/>
    <w:qFormat/>
    <w:uiPriority w:val="0"/>
  </w:style>
  <w:style w:type="character" w:customStyle="1" w:styleId="1074">
    <w:name w:val="T1433"/>
    <w:qFormat/>
    <w:uiPriority w:val="0"/>
  </w:style>
  <w:style w:type="character" w:customStyle="1" w:styleId="1075">
    <w:name w:val="T1443"/>
    <w:qFormat/>
    <w:uiPriority w:val="0"/>
  </w:style>
  <w:style w:type="character" w:customStyle="1" w:styleId="1076">
    <w:name w:val="T1453"/>
    <w:qFormat/>
    <w:uiPriority w:val="0"/>
  </w:style>
  <w:style w:type="character" w:customStyle="1" w:styleId="1077">
    <w:name w:val="T1463"/>
    <w:qFormat/>
    <w:uiPriority w:val="0"/>
  </w:style>
  <w:style w:type="character" w:customStyle="1" w:styleId="1078">
    <w:name w:val="T1473"/>
    <w:qFormat/>
    <w:uiPriority w:val="0"/>
  </w:style>
  <w:style w:type="character" w:customStyle="1" w:styleId="1079">
    <w:name w:val="T1483"/>
    <w:qFormat/>
    <w:uiPriority w:val="0"/>
  </w:style>
  <w:style w:type="character" w:customStyle="1" w:styleId="1080">
    <w:name w:val="T1493"/>
    <w:qFormat/>
    <w:uiPriority w:val="0"/>
  </w:style>
  <w:style w:type="character" w:customStyle="1" w:styleId="1081">
    <w:name w:val="T1503"/>
    <w:qFormat/>
    <w:uiPriority w:val="0"/>
  </w:style>
  <w:style w:type="character" w:customStyle="1" w:styleId="1082">
    <w:name w:val="T1515"/>
    <w:qFormat/>
    <w:uiPriority w:val="0"/>
  </w:style>
  <w:style w:type="character" w:customStyle="1" w:styleId="1083">
    <w:name w:val="T1523"/>
    <w:qFormat/>
    <w:uiPriority w:val="0"/>
  </w:style>
  <w:style w:type="character" w:customStyle="1" w:styleId="1084">
    <w:name w:val="T1533"/>
    <w:qFormat/>
    <w:uiPriority w:val="0"/>
  </w:style>
  <w:style w:type="character" w:customStyle="1" w:styleId="1085">
    <w:name w:val="T1543"/>
    <w:qFormat/>
    <w:uiPriority w:val="0"/>
  </w:style>
  <w:style w:type="character" w:customStyle="1" w:styleId="1086">
    <w:name w:val="T1553"/>
    <w:qFormat/>
    <w:uiPriority w:val="0"/>
  </w:style>
  <w:style w:type="character" w:customStyle="1" w:styleId="1087">
    <w:name w:val="T1563"/>
    <w:qFormat/>
    <w:uiPriority w:val="0"/>
  </w:style>
  <w:style w:type="character" w:customStyle="1" w:styleId="1088">
    <w:name w:val="T1573"/>
    <w:qFormat/>
    <w:uiPriority w:val="0"/>
  </w:style>
  <w:style w:type="character" w:customStyle="1" w:styleId="1089">
    <w:name w:val="T1583"/>
    <w:qFormat/>
    <w:uiPriority w:val="0"/>
  </w:style>
  <w:style w:type="character" w:customStyle="1" w:styleId="1090">
    <w:name w:val="T1593"/>
    <w:qFormat/>
    <w:uiPriority w:val="0"/>
  </w:style>
  <w:style w:type="character" w:customStyle="1" w:styleId="1091">
    <w:name w:val="T1603"/>
    <w:qFormat/>
    <w:uiPriority w:val="0"/>
  </w:style>
  <w:style w:type="character" w:customStyle="1" w:styleId="1092">
    <w:name w:val="T1614"/>
    <w:qFormat/>
    <w:uiPriority w:val="0"/>
  </w:style>
  <w:style w:type="character" w:customStyle="1" w:styleId="1093">
    <w:name w:val="T1623"/>
    <w:qFormat/>
    <w:uiPriority w:val="0"/>
  </w:style>
  <w:style w:type="character" w:customStyle="1" w:styleId="1094">
    <w:name w:val="T1633"/>
    <w:qFormat/>
    <w:uiPriority w:val="0"/>
  </w:style>
  <w:style w:type="character" w:customStyle="1" w:styleId="1095">
    <w:name w:val="T1643"/>
    <w:qFormat/>
    <w:uiPriority w:val="0"/>
  </w:style>
  <w:style w:type="character" w:customStyle="1" w:styleId="1096">
    <w:name w:val="T1652"/>
    <w:qFormat/>
    <w:uiPriority w:val="0"/>
  </w:style>
  <w:style w:type="character" w:customStyle="1" w:styleId="1097">
    <w:name w:val="T1662"/>
    <w:qFormat/>
    <w:uiPriority w:val="0"/>
  </w:style>
  <w:style w:type="character" w:customStyle="1" w:styleId="1098">
    <w:name w:val="T1672"/>
    <w:qFormat/>
    <w:uiPriority w:val="0"/>
  </w:style>
  <w:style w:type="character" w:customStyle="1" w:styleId="1099">
    <w:name w:val="T1682"/>
    <w:qFormat/>
    <w:uiPriority w:val="0"/>
  </w:style>
  <w:style w:type="character" w:customStyle="1" w:styleId="1100">
    <w:name w:val="T1692"/>
    <w:qFormat/>
    <w:uiPriority w:val="0"/>
  </w:style>
  <w:style w:type="character" w:customStyle="1" w:styleId="1101">
    <w:name w:val="T1702"/>
    <w:qFormat/>
    <w:uiPriority w:val="0"/>
  </w:style>
  <w:style w:type="character" w:customStyle="1" w:styleId="1102">
    <w:name w:val="T1713"/>
    <w:qFormat/>
    <w:uiPriority w:val="0"/>
  </w:style>
  <w:style w:type="character" w:customStyle="1" w:styleId="1103">
    <w:name w:val="T1722"/>
    <w:qFormat/>
    <w:uiPriority w:val="0"/>
    <w:rPr>
      <w:rFonts w:ascii="Symbol" w:hAnsi="Symbol" w:cs="Symbol"/>
    </w:rPr>
  </w:style>
  <w:style w:type="character" w:customStyle="1" w:styleId="1104">
    <w:name w:val="T1732"/>
    <w:qFormat/>
    <w:uiPriority w:val="0"/>
    <w:rPr>
      <w:rFonts w:ascii="Courier New" w:hAnsi="Courier New" w:cs="Courier New"/>
    </w:rPr>
  </w:style>
  <w:style w:type="character" w:customStyle="1" w:styleId="1105">
    <w:name w:val="T1741"/>
    <w:qFormat/>
    <w:uiPriority w:val="0"/>
    <w:rPr>
      <w:rFonts w:ascii="Wingdings" w:hAnsi="Wingdings" w:cs="Wingdings"/>
    </w:rPr>
  </w:style>
  <w:style w:type="character" w:customStyle="1" w:styleId="1106">
    <w:name w:val="T1751"/>
    <w:qFormat/>
    <w:uiPriority w:val="0"/>
    <w:rPr>
      <w:rFonts w:ascii="Symbol" w:hAnsi="Symbol" w:cs="Symbol"/>
    </w:rPr>
  </w:style>
  <w:style w:type="character" w:customStyle="1" w:styleId="1107">
    <w:name w:val="T1761"/>
    <w:qFormat/>
    <w:uiPriority w:val="0"/>
    <w:rPr>
      <w:rFonts w:ascii="Courier New" w:hAnsi="Courier New" w:cs="Courier New"/>
    </w:rPr>
  </w:style>
  <w:style w:type="character" w:customStyle="1" w:styleId="1108">
    <w:name w:val="T1771"/>
    <w:qFormat/>
    <w:uiPriority w:val="0"/>
    <w:rPr>
      <w:rFonts w:ascii="Wingdings" w:hAnsi="Wingdings" w:cs="Wingdings"/>
    </w:rPr>
  </w:style>
  <w:style w:type="character" w:customStyle="1" w:styleId="1109">
    <w:name w:val="T1781"/>
    <w:qFormat/>
    <w:uiPriority w:val="0"/>
    <w:rPr>
      <w:rFonts w:ascii="Symbol" w:hAnsi="Symbol" w:cs="Symbol"/>
    </w:rPr>
  </w:style>
  <w:style w:type="character" w:customStyle="1" w:styleId="1110">
    <w:name w:val="T1791"/>
    <w:qFormat/>
    <w:uiPriority w:val="0"/>
    <w:rPr>
      <w:rFonts w:ascii="Courier New" w:hAnsi="Courier New" w:cs="Courier New"/>
    </w:rPr>
  </w:style>
  <w:style w:type="character" w:customStyle="1" w:styleId="1111">
    <w:name w:val="T1801"/>
    <w:qFormat/>
    <w:uiPriority w:val="0"/>
    <w:rPr>
      <w:rFonts w:ascii="Wingdings" w:hAnsi="Wingdings" w:cs="Wingdings"/>
    </w:rPr>
  </w:style>
  <w:style w:type="character" w:customStyle="1" w:styleId="1112">
    <w:name w:val="T1812"/>
    <w:qFormat/>
    <w:uiPriority w:val="0"/>
  </w:style>
  <w:style w:type="character" w:customStyle="1" w:styleId="1113">
    <w:name w:val="T1822"/>
    <w:qFormat/>
    <w:uiPriority w:val="0"/>
  </w:style>
  <w:style w:type="character" w:customStyle="1" w:styleId="1114">
    <w:name w:val="T1831"/>
    <w:qFormat/>
    <w:uiPriority w:val="0"/>
  </w:style>
  <w:style w:type="character" w:customStyle="1" w:styleId="1115">
    <w:name w:val="T1841"/>
    <w:qFormat/>
    <w:uiPriority w:val="0"/>
  </w:style>
  <w:style w:type="character" w:customStyle="1" w:styleId="1116">
    <w:name w:val="T1851"/>
    <w:qFormat/>
    <w:uiPriority w:val="0"/>
  </w:style>
  <w:style w:type="character" w:customStyle="1" w:styleId="1117">
    <w:name w:val="T1861"/>
    <w:qFormat/>
    <w:uiPriority w:val="0"/>
  </w:style>
  <w:style w:type="character" w:customStyle="1" w:styleId="1118">
    <w:name w:val="T1871"/>
    <w:qFormat/>
    <w:uiPriority w:val="0"/>
  </w:style>
  <w:style w:type="character" w:customStyle="1" w:styleId="1119">
    <w:name w:val="T1881"/>
    <w:qFormat/>
    <w:uiPriority w:val="0"/>
  </w:style>
  <w:style w:type="character" w:customStyle="1" w:styleId="1120">
    <w:name w:val="T1891"/>
    <w:qFormat/>
    <w:uiPriority w:val="0"/>
  </w:style>
  <w:style w:type="character" w:customStyle="1" w:styleId="1121">
    <w:name w:val="T1901"/>
    <w:qFormat/>
    <w:uiPriority w:val="0"/>
  </w:style>
  <w:style w:type="character" w:customStyle="1" w:styleId="1122">
    <w:name w:val="T1912"/>
    <w:qFormat/>
    <w:uiPriority w:val="0"/>
  </w:style>
  <w:style w:type="character" w:customStyle="1" w:styleId="1123">
    <w:name w:val="T1922"/>
    <w:qFormat/>
    <w:uiPriority w:val="0"/>
  </w:style>
  <w:style w:type="character" w:customStyle="1" w:styleId="1124">
    <w:name w:val="T1931"/>
    <w:qFormat/>
    <w:uiPriority w:val="0"/>
  </w:style>
  <w:style w:type="character" w:customStyle="1" w:styleId="1125">
    <w:name w:val="T1941"/>
    <w:qFormat/>
    <w:uiPriority w:val="0"/>
  </w:style>
  <w:style w:type="character" w:customStyle="1" w:styleId="1126">
    <w:name w:val="T1951"/>
    <w:qFormat/>
    <w:uiPriority w:val="0"/>
  </w:style>
  <w:style w:type="character" w:customStyle="1" w:styleId="1127">
    <w:name w:val="T1961"/>
    <w:qFormat/>
    <w:uiPriority w:val="0"/>
  </w:style>
  <w:style w:type="character" w:customStyle="1" w:styleId="1128">
    <w:name w:val="T1971"/>
    <w:qFormat/>
    <w:uiPriority w:val="0"/>
  </w:style>
  <w:style w:type="character" w:customStyle="1" w:styleId="1129">
    <w:name w:val="T1981"/>
    <w:qFormat/>
    <w:uiPriority w:val="0"/>
  </w:style>
  <w:style w:type="character" w:customStyle="1" w:styleId="1130">
    <w:name w:val="T1100"/>
    <w:qFormat/>
    <w:uiPriority w:val="0"/>
  </w:style>
  <w:style w:type="character" w:customStyle="1" w:styleId="1131">
    <w:name w:val="T216"/>
    <w:qFormat/>
    <w:uiPriority w:val="0"/>
  </w:style>
  <w:style w:type="character" w:customStyle="1" w:styleId="1132">
    <w:name w:val="T316"/>
    <w:qFormat/>
    <w:uiPriority w:val="0"/>
  </w:style>
  <w:style w:type="character" w:customStyle="1" w:styleId="1133">
    <w:name w:val="T416"/>
    <w:qFormat/>
    <w:uiPriority w:val="0"/>
  </w:style>
  <w:style w:type="character" w:customStyle="1" w:styleId="1134">
    <w:name w:val="T516"/>
    <w:qFormat/>
    <w:uiPriority w:val="0"/>
  </w:style>
  <w:style w:type="character" w:customStyle="1" w:styleId="1135">
    <w:name w:val="T616"/>
    <w:qFormat/>
    <w:uiPriority w:val="0"/>
  </w:style>
  <w:style w:type="character" w:customStyle="1" w:styleId="1136">
    <w:name w:val="T716"/>
    <w:qFormat/>
    <w:uiPriority w:val="0"/>
  </w:style>
  <w:style w:type="character" w:customStyle="1" w:styleId="1137">
    <w:name w:val="T816"/>
    <w:qFormat/>
    <w:uiPriority w:val="0"/>
  </w:style>
  <w:style w:type="character" w:customStyle="1" w:styleId="1138">
    <w:name w:val="T916"/>
    <w:qFormat/>
    <w:uiPriority w:val="0"/>
  </w:style>
  <w:style w:type="character" w:customStyle="1" w:styleId="1139">
    <w:name w:val="T1016"/>
    <w:qFormat/>
    <w:uiPriority w:val="0"/>
  </w:style>
  <w:style w:type="character" w:customStyle="1" w:styleId="1140">
    <w:name w:val="T1116"/>
    <w:qFormat/>
    <w:uiPriority w:val="0"/>
  </w:style>
  <w:style w:type="character" w:customStyle="1" w:styleId="1141">
    <w:name w:val="T1216"/>
    <w:qFormat/>
    <w:uiPriority w:val="0"/>
  </w:style>
  <w:style w:type="character" w:customStyle="1" w:styleId="1142">
    <w:name w:val="T1316"/>
    <w:qFormat/>
    <w:uiPriority w:val="0"/>
  </w:style>
  <w:style w:type="character" w:customStyle="1" w:styleId="1143">
    <w:name w:val="T1416"/>
    <w:qFormat/>
    <w:uiPriority w:val="0"/>
  </w:style>
  <w:style w:type="character" w:customStyle="1" w:styleId="1144">
    <w:name w:val="T1516"/>
    <w:qFormat/>
    <w:uiPriority w:val="0"/>
  </w:style>
  <w:style w:type="character" w:customStyle="1" w:styleId="1145">
    <w:name w:val="T1615"/>
    <w:qFormat/>
    <w:uiPriority w:val="0"/>
  </w:style>
  <w:style w:type="character" w:customStyle="1" w:styleId="1146">
    <w:name w:val="T1714"/>
    <w:qFormat/>
    <w:uiPriority w:val="0"/>
  </w:style>
  <w:style w:type="character" w:customStyle="1" w:styleId="1147">
    <w:name w:val="T1813"/>
    <w:qFormat/>
    <w:uiPriority w:val="0"/>
  </w:style>
  <w:style w:type="character" w:customStyle="1" w:styleId="1148">
    <w:name w:val="T1913"/>
    <w:qFormat/>
    <w:uiPriority w:val="0"/>
    <w:rPr>
      <w:rFonts w:ascii="Symbol" w:hAnsi="Symbol" w:cs="Symbol"/>
    </w:rPr>
  </w:style>
  <w:style w:type="character" w:customStyle="1" w:styleId="1149">
    <w:name w:val="T204"/>
    <w:qFormat/>
    <w:uiPriority w:val="0"/>
    <w:rPr>
      <w:rFonts w:ascii="Courier New" w:hAnsi="Courier New" w:cs="Courier New"/>
    </w:rPr>
  </w:style>
  <w:style w:type="character" w:customStyle="1" w:styleId="1150">
    <w:name w:val="T217"/>
    <w:qFormat/>
    <w:uiPriority w:val="0"/>
    <w:rPr>
      <w:rFonts w:ascii="Wingdings" w:hAnsi="Wingdings" w:cs="Wingdings"/>
    </w:rPr>
  </w:style>
  <w:style w:type="character" w:customStyle="1" w:styleId="1151">
    <w:name w:val="T224"/>
    <w:qFormat/>
    <w:uiPriority w:val="0"/>
    <w:rPr>
      <w:rFonts w:ascii="Symbol" w:hAnsi="Symbol" w:cs="Symbol"/>
    </w:rPr>
  </w:style>
  <w:style w:type="character" w:customStyle="1" w:styleId="1152">
    <w:name w:val="T234"/>
    <w:qFormat/>
    <w:uiPriority w:val="0"/>
    <w:rPr>
      <w:rFonts w:ascii="Courier New" w:hAnsi="Courier New" w:cs="Courier New"/>
    </w:rPr>
  </w:style>
  <w:style w:type="character" w:customStyle="1" w:styleId="1153">
    <w:name w:val="T244"/>
    <w:qFormat/>
    <w:uiPriority w:val="0"/>
    <w:rPr>
      <w:rFonts w:ascii="Wingdings" w:hAnsi="Wingdings" w:cs="Wingdings"/>
    </w:rPr>
  </w:style>
  <w:style w:type="character" w:customStyle="1" w:styleId="1154">
    <w:name w:val="T254"/>
    <w:qFormat/>
    <w:uiPriority w:val="0"/>
    <w:rPr>
      <w:rFonts w:ascii="Symbol" w:hAnsi="Symbol" w:cs="Symbol"/>
    </w:rPr>
  </w:style>
  <w:style w:type="character" w:customStyle="1" w:styleId="1155">
    <w:name w:val="T264"/>
    <w:qFormat/>
    <w:uiPriority w:val="0"/>
    <w:rPr>
      <w:rFonts w:ascii="Courier New" w:hAnsi="Courier New" w:cs="Courier New"/>
    </w:rPr>
  </w:style>
  <w:style w:type="character" w:customStyle="1" w:styleId="1156">
    <w:name w:val="T274"/>
    <w:qFormat/>
    <w:uiPriority w:val="0"/>
    <w:rPr>
      <w:rFonts w:ascii="Wingdings" w:hAnsi="Wingdings" w:cs="Wingdings"/>
    </w:rPr>
  </w:style>
  <w:style w:type="character" w:customStyle="1" w:styleId="1157">
    <w:name w:val="T284"/>
    <w:qFormat/>
    <w:uiPriority w:val="0"/>
    <w:rPr>
      <w:rFonts w:ascii="Wingdings" w:hAnsi="Wingdings" w:cs="Wingdings"/>
    </w:rPr>
  </w:style>
  <w:style w:type="character" w:customStyle="1" w:styleId="1158">
    <w:name w:val="T294"/>
    <w:qFormat/>
    <w:uiPriority w:val="0"/>
  </w:style>
  <w:style w:type="character" w:customStyle="1" w:styleId="1159">
    <w:name w:val="T304"/>
    <w:qFormat/>
    <w:uiPriority w:val="0"/>
  </w:style>
  <w:style w:type="character" w:customStyle="1" w:styleId="1160">
    <w:name w:val="T317"/>
    <w:qFormat/>
    <w:uiPriority w:val="0"/>
  </w:style>
  <w:style w:type="character" w:customStyle="1" w:styleId="1161">
    <w:name w:val="T324"/>
    <w:qFormat/>
    <w:uiPriority w:val="0"/>
  </w:style>
  <w:style w:type="character" w:customStyle="1" w:styleId="1162">
    <w:name w:val="T334"/>
    <w:qFormat/>
    <w:uiPriority w:val="0"/>
  </w:style>
  <w:style w:type="character" w:customStyle="1" w:styleId="1163">
    <w:name w:val="T344"/>
    <w:qFormat/>
    <w:uiPriority w:val="0"/>
  </w:style>
  <w:style w:type="character" w:customStyle="1" w:styleId="1164">
    <w:name w:val="T354"/>
    <w:qFormat/>
    <w:uiPriority w:val="0"/>
  </w:style>
  <w:style w:type="character" w:customStyle="1" w:styleId="1165">
    <w:name w:val="T364"/>
    <w:qFormat/>
    <w:uiPriority w:val="0"/>
  </w:style>
  <w:style w:type="character" w:customStyle="1" w:styleId="1166">
    <w:name w:val="T374"/>
    <w:qFormat/>
    <w:uiPriority w:val="0"/>
  </w:style>
  <w:style w:type="character" w:customStyle="1" w:styleId="1167">
    <w:name w:val="T384"/>
    <w:qFormat/>
    <w:uiPriority w:val="0"/>
  </w:style>
  <w:style w:type="character" w:customStyle="1" w:styleId="1168">
    <w:name w:val="T394"/>
    <w:qFormat/>
    <w:uiPriority w:val="0"/>
  </w:style>
  <w:style w:type="character" w:customStyle="1" w:styleId="1169">
    <w:name w:val="T404"/>
    <w:qFormat/>
    <w:uiPriority w:val="0"/>
  </w:style>
  <w:style w:type="character" w:customStyle="1" w:styleId="1170">
    <w:name w:val="T417"/>
    <w:qFormat/>
    <w:uiPriority w:val="0"/>
  </w:style>
  <w:style w:type="character" w:customStyle="1" w:styleId="1171">
    <w:name w:val="T424"/>
    <w:qFormat/>
    <w:uiPriority w:val="0"/>
  </w:style>
  <w:style w:type="character" w:customStyle="1" w:styleId="1172">
    <w:name w:val="T434"/>
    <w:qFormat/>
    <w:uiPriority w:val="0"/>
  </w:style>
  <w:style w:type="character" w:customStyle="1" w:styleId="1173">
    <w:name w:val="T444"/>
    <w:qFormat/>
    <w:uiPriority w:val="0"/>
  </w:style>
  <w:style w:type="character" w:customStyle="1" w:styleId="1174">
    <w:name w:val="T454"/>
    <w:qFormat/>
    <w:uiPriority w:val="0"/>
  </w:style>
  <w:style w:type="character" w:customStyle="1" w:styleId="1175">
    <w:name w:val="T464"/>
    <w:qFormat/>
    <w:uiPriority w:val="0"/>
    <w:rPr>
      <w:rFonts w:ascii="Symbol" w:hAnsi="Symbol" w:cs="Symbol"/>
    </w:rPr>
  </w:style>
  <w:style w:type="character" w:customStyle="1" w:styleId="1176">
    <w:name w:val="T474"/>
    <w:qFormat/>
    <w:uiPriority w:val="0"/>
    <w:rPr>
      <w:rFonts w:ascii="OpenSymbol" w:hAnsi="OpenSymbol" w:cs="OpenSymbol"/>
    </w:rPr>
  </w:style>
  <w:style w:type="character" w:customStyle="1" w:styleId="1177">
    <w:name w:val="T484"/>
    <w:qFormat/>
    <w:uiPriority w:val="0"/>
    <w:rPr>
      <w:rFonts w:ascii="OpenSymbol" w:hAnsi="OpenSymbol" w:cs="OpenSymbol"/>
    </w:rPr>
  </w:style>
  <w:style w:type="character" w:customStyle="1" w:styleId="1178">
    <w:name w:val="T494"/>
    <w:qFormat/>
    <w:uiPriority w:val="0"/>
    <w:rPr>
      <w:rFonts w:ascii="Symbol" w:hAnsi="Symbol" w:cs="Symbol"/>
    </w:rPr>
  </w:style>
  <w:style w:type="character" w:customStyle="1" w:styleId="1179">
    <w:name w:val="T504"/>
    <w:qFormat/>
    <w:uiPriority w:val="0"/>
    <w:rPr>
      <w:rFonts w:ascii="OpenSymbol" w:hAnsi="OpenSymbol" w:cs="OpenSymbol"/>
    </w:rPr>
  </w:style>
  <w:style w:type="character" w:customStyle="1" w:styleId="1180">
    <w:name w:val="T517"/>
    <w:qFormat/>
    <w:uiPriority w:val="0"/>
    <w:rPr>
      <w:rFonts w:ascii="OpenSymbol" w:hAnsi="OpenSymbol" w:cs="OpenSymbol"/>
    </w:rPr>
  </w:style>
  <w:style w:type="character" w:customStyle="1" w:styleId="1181">
    <w:name w:val="T524"/>
    <w:qFormat/>
    <w:uiPriority w:val="0"/>
    <w:rPr>
      <w:rFonts w:ascii="Symbol" w:hAnsi="Symbol" w:cs="Symbol"/>
    </w:rPr>
  </w:style>
  <w:style w:type="character" w:customStyle="1" w:styleId="1182">
    <w:name w:val="T534"/>
    <w:qFormat/>
    <w:uiPriority w:val="0"/>
    <w:rPr>
      <w:rFonts w:ascii="OpenSymbol" w:hAnsi="OpenSymbol" w:cs="OpenSymbol"/>
    </w:rPr>
  </w:style>
  <w:style w:type="character" w:customStyle="1" w:styleId="1183">
    <w:name w:val="T544"/>
    <w:qFormat/>
    <w:uiPriority w:val="0"/>
    <w:rPr>
      <w:rFonts w:ascii="OpenSymbol" w:hAnsi="OpenSymbol" w:cs="OpenSymbol"/>
    </w:rPr>
  </w:style>
  <w:style w:type="character" w:customStyle="1" w:styleId="1184">
    <w:name w:val="T554"/>
    <w:qFormat/>
    <w:uiPriority w:val="0"/>
    <w:rPr>
      <w:rFonts w:ascii="Symbol" w:hAnsi="Symbol" w:cs="Symbol"/>
    </w:rPr>
  </w:style>
  <w:style w:type="character" w:customStyle="1" w:styleId="1185">
    <w:name w:val="T564"/>
    <w:qFormat/>
    <w:uiPriority w:val="0"/>
    <w:rPr>
      <w:rFonts w:ascii="Courier New" w:hAnsi="Courier New" w:cs="Courier New"/>
    </w:rPr>
  </w:style>
  <w:style w:type="character" w:customStyle="1" w:styleId="1186">
    <w:name w:val="T574"/>
    <w:qFormat/>
    <w:uiPriority w:val="0"/>
    <w:rPr>
      <w:rFonts w:ascii="Wingdings" w:hAnsi="Wingdings" w:cs="Wingdings"/>
    </w:rPr>
  </w:style>
  <w:style w:type="character" w:customStyle="1" w:styleId="1187">
    <w:name w:val="T584"/>
    <w:qFormat/>
    <w:uiPriority w:val="0"/>
    <w:rPr>
      <w:rFonts w:ascii="Symbol" w:hAnsi="Symbol" w:cs="Symbol"/>
    </w:rPr>
  </w:style>
  <w:style w:type="character" w:customStyle="1" w:styleId="1188">
    <w:name w:val="T594"/>
    <w:qFormat/>
    <w:uiPriority w:val="0"/>
    <w:rPr>
      <w:rFonts w:ascii="Courier New" w:hAnsi="Courier New" w:cs="Courier New"/>
    </w:rPr>
  </w:style>
  <w:style w:type="character" w:customStyle="1" w:styleId="1189">
    <w:name w:val="T604"/>
    <w:qFormat/>
    <w:uiPriority w:val="0"/>
    <w:rPr>
      <w:rFonts w:ascii="Wingdings" w:hAnsi="Wingdings" w:cs="Wingdings"/>
    </w:rPr>
  </w:style>
  <w:style w:type="character" w:customStyle="1" w:styleId="1190">
    <w:name w:val="T617"/>
    <w:qFormat/>
    <w:uiPriority w:val="0"/>
    <w:rPr>
      <w:rFonts w:ascii="Symbol" w:hAnsi="Symbol" w:cs="Symbol"/>
    </w:rPr>
  </w:style>
  <w:style w:type="character" w:customStyle="1" w:styleId="1191">
    <w:name w:val="T624"/>
    <w:qFormat/>
    <w:uiPriority w:val="0"/>
    <w:rPr>
      <w:rFonts w:ascii="Courier New" w:hAnsi="Courier New" w:cs="Courier New"/>
    </w:rPr>
  </w:style>
  <w:style w:type="character" w:customStyle="1" w:styleId="1192">
    <w:name w:val="T634"/>
    <w:qFormat/>
    <w:uiPriority w:val="0"/>
    <w:rPr>
      <w:rFonts w:ascii="Wingdings" w:hAnsi="Wingdings" w:cs="Wingdings"/>
    </w:rPr>
  </w:style>
  <w:style w:type="character" w:customStyle="1" w:styleId="1193">
    <w:name w:val="T644"/>
    <w:qFormat/>
    <w:uiPriority w:val="0"/>
  </w:style>
  <w:style w:type="character" w:customStyle="1" w:styleId="1194">
    <w:name w:val="T654"/>
    <w:qFormat/>
    <w:uiPriority w:val="0"/>
  </w:style>
  <w:style w:type="character" w:customStyle="1" w:styleId="1195">
    <w:name w:val="T664"/>
    <w:qFormat/>
    <w:uiPriority w:val="0"/>
  </w:style>
  <w:style w:type="character" w:customStyle="1" w:styleId="1196">
    <w:name w:val="T674"/>
    <w:qFormat/>
    <w:uiPriority w:val="0"/>
  </w:style>
  <w:style w:type="character" w:customStyle="1" w:styleId="1197">
    <w:name w:val="T684"/>
    <w:qFormat/>
    <w:uiPriority w:val="0"/>
  </w:style>
  <w:style w:type="character" w:customStyle="1" w:styleId="1198">
    <w:name w:val="T694"/>
    <w:qFormat/>
    <w:uiPriority w:val="0"/>
  </w:style>
  <w:style w:type="character" w:customStyle="1" w:styleId="1199">
    <w:name w:val="T704"/>
    <w:qFormat/>
    <w:uiPriority w:val="0"/>
  </w:style>
  <w:style w:type="character" w:customStyle="1" w:styleId="1200">
    <w:name w:val="T717"/>
    <w:qFormat/>
    <w:uiPriority w:val="0"/>
  </w:style>
  <w:style w:type="character" w:customStyle="1" w:styleId="1201">
    <w:name w:val="T724"/>
    <w:qFormat/>
    <w:uiPriority w:val="0"/>
  </w:style>
  <w:style w:type="character" w:customStyle="1" w:styleId="1202">
    <w:name w:val="T734"/>
    <w:qFormat/>
    <w:uiPriority w:val="0"/>
  </w:style>
  <w:style w:type="character" w:customStyle="1" w:styleId="1203">
    <w:name w:val="T744"/>
    <w:qFormat/>
    <w:uiPriority w:val="0"/>
  </w:style>
  <w:style w:type="character" w:customStyle="1" w:styleId="1204">
    <w:name w:val="T754"/>
    <w:qFormat/>
    <w:uiPriority w:val="0"/>
  </w:style>
  <w:style w:type="character" w:customStyle="1" w:styleId="1205">
    <w:name w:val="T764"/>
    <w:qFormat/>
    <w:uiPriority w:val="0"/>
  </w:style>
  <w:style w:type="character" w:customStyle="1" w:styleId="1206">
    <w:name w:val="T774"/>
    <w:qFormat/>
    <w:uiPriority w:val="0"/>
  </w:style>
  <w:style w:type="character" w:customStyle="1" w:styleId="1207">
    <w:name w:val="T784"/>
    <w:qFormat/>
    <w:uiPriority w:val="0"/>
  </w:style>
  <w:style w:type="character" w:customStyle="1" w:styleId="1208">
    <w:name w:val="T794"/>
    <w:qFormat/>
    <w:uiPriority w:val="0"/>
  </w:style>
  <w:style w:type="character" w:customStyle="1" w:styleId="1209">
    <w:name w:val="T804"/>
    <w:qFormat/>
    <w:uiPriority w:val="0"/>
  </w:style>
  <w:style w:type="character" w:customStyle="1" w:styleId="1210">
    <w:name w:val="T817"/>
    <w:qFormat/>
    <w:uiPriority w:val="0"/>
  </w:style>
  <w:style w:type="character" w:customStyle="1" w:styleId="1211">
    <w:name w:val="T824"/>
    <w:qFormat/>
    <w:uiPriority w:val="0"/>
  </w:style>
  <w:style w:type="character" w:customStyle="1" w:styleId="1212">
    <w:name w:val="T834"/>
    <w:qFormat/>
    <w:uiPriority w:val="0"/>
  </w:style>
  <w:style w:type="character" w:customStyle="1" w:styleId="1213">
    <w:name w:val="T844"/>
    <w:qFormat/>
    <w:uiPriority w:val="0"/>
  </w:style>
  <w:style w:type="character" w:customStyle="1" w:styleId="1214">
    <w:name w:val="T854"/>
    <w:qFormat/>
    <w:uiPriority w:val="0"/>
  </w:style>
  <w:style w:type="character" w:customStyle="1" w:styleId="1215">
    <w:name w:val="T864"/>
    <w:qFormat/>
    <w:uiPriority w:val="0"/>
  </w:style>
  <w:style w:type="character" w:customStyle="1" w:styleId="1216">
    <w:name w:val="T874"/>
    <w:qFormat/>
    <w:uiPriority w:val="0"/>
  </w:style>
  <w:style w:type="character" w:customStyle="1" w:styleId="1217">
    <w:name w:val="T884"/>
    <w:qFormat/>
    <w:uiPriority w:val="0"/>
  </w:style>
  <w:style w:type="character" w:customStyle="1" w:styleId="1218">
    <w:name w:val="T894"/>
    <w:qFormat/>
    <w:uiPriority w:val="0"/>
  </w:style>
  <w:style w:type="character" w:customStyle="1" w:styleId="1219">
    <w:name w:val="T904"/>
    <w:qFormat/>
    <w:uiPriority w:val="0"/>
  </w:style>
  <w:style w:type="character" w:customStyle="1" w:styleId="1220">
    <w:name w:val="T917"/>
    <w:qFormat/>
    <w:uiPriority w:val="0"/>
  </w:style>
  <w:style w:type="character" w:customStyle="1" w:styleId="1221">
    <w:name w:val="T924"/>
    <w:qFormat/>
    <w:uiPriority w:val="0"/>
  </w:style>
  <w:style w:type="character" w:customStyle="1" w:styleId="1222">
    <w:name w:val="T934"/>
    <w:qFormat/>
    <w:uiPriority w:val="0"/>
  </w:style>
  <w:style w:type="character" w:customStyle="1" w:styleId="1223">
    <w:name w:val="T944"/>
    <w:qFormat/>
    <w:uiPriority w:val="0"/>
  </w:style>
  <w:style w:type="character" w:customStyle="1" w:styleId="1224">
    <w:name w:val="T954"/>
    <w:qFormat/>
    <w:uiPriority w:val="0"/>
  </w:style>
  <w:style w:type="character" w:customStyle="1" w:styleId="1225">
    <w:name w:val="T964"/>
    <w:qFormat/>
    <w:uiPriority w:val="0"/>
  </w:style>
  <w:style w:type="character" w:customStyle="1" w:styleId="1226">
    <w:name w:val="T974"/>
    <w:qFormat/>
    <w:uiPriority w:val="0"/>
  </w:style>
  <w:style w:type="character" w:customStyle="1" w:styleId="1227">
    <w:name w:val="T984"/>
    <w:qFormat/>
    <w:uiPriority w:val="0"/>
  </w:style>
  <w:style w:type="character" w:customStyle="1" w:styleId="1228">
    <w:name w:val="T994"/>
    <w:qFormat/>
    <w:uiPriority w:val="0"/>
  </w:style>
  <w:style w:type="character" w:customStyle="1" w:styleId="1229">
    <w:name w:val="T1004"/>
    <w:qFormat/>
    <w:uiPriority w:val="0"/>
  </w:style>
  <w:style w:type="character" w:customStyle="1" w:styleId="1230">
    <w:name w:val="T1017"/>
    <w:qFormat/>
    <w:uiPriority w:val="0"/>
  </w:style>
  <w:style w:type="character" w:customStyle="1" w:styleId="1231">
    <w:name w:val="T1024"/>
    <w:qFormat/>
    <w:uiPriority w:val="0"/>
  </w:style>
  <w:style w:type="character" w:customStyle="1" w:styleId="1232">
    <w:name w:val="T1034"/>
    <w:qFormat/>
    <w:uiPriority w:val="0"/>
  </w:style>
  <w:style w:type="character" w:customStyle="1" w:styleId="1233">
    <w:name w:val="T1044"/>
    <w:qFormat/>
    <w:uiPriority w:val="0"/>
  </w:style>
  <w:style w:type="character" w:customStyle="1" w:styleId="1234">
    <w:name w:val="T1054"/>
    <w:qFormat/>
    <w:uiPriority w:val="0"/>
  </w:style>
  <w:style w:type="character" w:customStyle="1" w:styleId="1235">
    <w:name w:val="T1064"/>
    <w:qFormat/>
    <w:uiPriority w:val="0"/>
  </w:style>
  <w:style w:type="character" w:customStyle="1" w:styleId="1236">
    <w:name w:val="T1074"/>
    <w:qFormat/>
    <w:uiPriority w:val="0"/>
  </w:style>
  <w:style w:type="character" w:customStyle="1" w:styleId="1237">
    <w:name w:val="T1084"/>
    <w:qFormat/>
    <w:uiPriority w:val="0"/>
  </w:style>
  <w:style w:type="character" w:customStyle="1" w:styleId="1238">
    <w:name w:val="T1094"/>
    <w:qFormat/>
    <w:uiPriority w:val="0"/>
  </w:style>
  <w:style w:type="character" w:customStyle="1" w:styleId="1239">
    <w:name w:val="T1104"/>
    <w:qFormat/>
    <w:uiPriority w:val="0"/>
  </w:style>
  <w:style w:type="character" w:customStyle="1" w:styleId="1240">
    <w:name w:val="T1117"/>
    <w:qFormat/>
    <w:uiPriority w:val="0"/>
  </w:style>
  <w:style w:type="character" w:customStyle="1" w:styleId="1241">
    <w:name w:val="T1124"/>
    <w:qFormat/>
    <w:uiPriority w:val="0"/>
  </w:style>
  <w:style w:type="character" w:customStyle="1" w:styleId="1242">
    <w:name w:val="T1134"/>
    <w:qFormat/>
    <w:uiPriority w:val="0"/>
  </w:style>
  <w:style w:type="character" w:customStyle="1" w:styleId="1243">
    <w:name w:val="T1144"/>
    <w:qFormat/>
    <w:uiPriority w:val="0"/>
  </w:style>
  <w:style w:type="character" w:customStyle="1" w:styleId="1244">
    <w:name w:val="T1154"/>
    <w:qFormat/>
    <w:uiPriority w:val="0"/>
  </w:style>
  <w:style w:type="character" w:customStyle="1" w:styleId="1245">
    <w:name w:val="T1164"/>
    <w:qFormat/>
    <w:uiPriority w:val="0"/>
  </w:style>
  <w:style w:type="character" w:customStyle="1" w:styleId="1246">
    <w:name w:val="T1174"/>
    <w:qFormat/>
    <w:uiPriority w:val="0"/>
  </w:style>
  <w:style w:type="character" w:customStyle="1" w:styleId="1247">
    <w:name w:val="T1184"/>
    <w:qFormat/>
    <w:uiPriority w:val="0"/>
  </w:style>
  <w:style w:type="character" w:customStyle="1" w:styleId="1248">
    <w:name w:val="T1194"/>
    <w:qFormat/>
    <w:uiPriority w:val="0"/>
  </w:style>
  <w:style w:type="character" w:customStyle="1" w:styleId="1249">
    <w:name w:val="T1204"/>
    <w:qFormat/>
    <w:uiPriority w:val="0"/>
  </w:style>
  <w:style w:type="character" w:customStyle="1" w:styleId="1250">
    <w:name w:val="T1217"/>
    <w:qFormat/>
    <w:uiPriority w:val="0"/>
  </w:style>
  <w:style w:type="character" w:customStyle="1" w:styleId="1251">
    <w:name w:val="T1224"/>
    <w:qFormat/>
    <w:uiPriority w:val="0"/>
  </w:style>
  <w:style w:type="character" w:customStyle="1" w:styleId="1252">
    <w:name w:val="T1234"/>
    <w:qFormat/>
    <w:uiPriority w:val="0"/>
  </w:style>
  <w:style w:type="character" w:customStyle="1" w:styleId="1253">
    <w:name w:val="T1244"/>
    <w:qFormat/>
    <w:uiPriority w:val="0"/>
  </w:style>
  <w:style w:type="character" w:customStyle="1" w:styleId="1254">
    <w:name w:val="T1254"/>
    <w:qFormat/>
    <w:uiPriority w:val="0"/>
  </w:style>
  <w:style w:type="character" w:customStyle="1" w:styleId="1255">
    <w:name w:val="T1264"/>
    <w:qFormat/>
    <w:uiPriority w:val="0"/>
  </w:style>
  <w:style w:type="character" w:customStyle="1" w:styleId="1256">
    <w:name w:val="T1274"/>
    <w:qFormat/>
    <w:uiPriority w:val="0"/>
  </w:style>
  <w:style w:type="character" w:customStyle="1" w:styleId="1257">
    <w:name w:val="T1284"/>
    <w:qFormat/>
    <w:uiPriority w:val="0"/>
  </w:style>
  <w:style w:type="character" w:customStyle="1" w:styleId="1258">
    <w:name w:val="T1294"/>
    <w:qFormat/>
    <w:uiPriority w:val="0"/>
  </w:style>
  <w:style w:type="character" w:customStyle="1" w:styleId="1259">
    <w:name w:val="T1304"/>
    <w:qFormat/>
    <w:uiPriority w:val="0"/>
  </w:style>
  <w:style w:type="character" w:customStyle="1" w:styleId="1260">
    <w:name w:val="T1317"/>
    <w:qFormat/>
    <w:uiPriority w:val="0"/>
  </w:style>
  <w:style w:type="character" w:customStyle="1" w:styleId="1261">
    <w:name w:val="T1324"/>
    <w:qFormat/>
    <w:uiPriority w:val="0"/>
  </w:style>
  <w:style w:type="character" w:customStyle="1" w:styleId="1262">
    <w:name w:val="T1334"/>
    <w:qFormat/>
    <w:uiPriority w:val="0"/>
  </w:style>
  <w:style w:type="character" w:customStyle="1" w:styleId="1263">
    <w:name w:val="T1344"/>
    <w:qFormat/>
    <w:uiPriority w:val="0"/>
  </w:style>
  <w:style w:type="character" w:customStyle="1" w:styleId="1264">
    <w:name w:val="T1354"/>
    <w:qFormat/>
    <w:uiPriority w:val="0"/>
  </w:style>
  <w:style w:type="character" w:customStyle="1" w:styleId="1265">
    <w:name w:val="T1364"/>
    <w:qFormat/>
    <w:uiPriority w:val="0"/>
  </w:style>
  <w:style w:type="character" w:customStyle="1" w:styleId="1266">
    <w:name w:val="T1374"/>
    <w:qFormat/>
    <w:uiPriority w:val="0"/>
  </w:style>
  <w:style w:type="character" w:customStyle="1" w:styleId="1267">
    <w:name w:val="T1384"/>
    <w:qFormat/>
    <w:uiPriority w:val="0"/>
  </w:style>
  <w:style w:type="character" w:customStyle="1" w:styleId="1268">
    <w:name w:val="T1394"/>
    <w:qFormat/>
    <w:uiPriority w:val="0"/>
  </w:style>
  <w:style w:type="character" w:customStyle="1" w:styleId="1269">
    <w:name w:val="T1404"/>
    <w:qFormat/>
    <w:uiPriority w:val="0"/>
  </w:style>
  <w:style w:type="character" w:customStyle="1" w:styleId="1270">
    <w:name w:val="T1417"/>
    <w:qFormat/>
    <w:uiPriority w:val="0"/>
  </w:style>
  <w:style w:type="character" w:customStyle="1" w:styleId="1271">
    <w:name w:val="T1424"/>
    <w:qFormat/>
    <w:uiPriority w:val="0"/>
  </w:style>
  <w:style w:type="character" w:customStyle="1" w:styleId="1272">
    <w:name w:val="T1434"/>
    <w:qFormat/>
    <w:uiPriority w:val="0"/>
  </w:style>
  <w:style w:type="character" w:customStyle="1" w:styleId="1273">
    <w:name w:val="T1444"/>
    <w:qFormat/>
    <w:uiPriority w:val="0"/>
  </w:style>
  <w:style w:type="character" w:customStyle="1" w:styleId="1274">
    <w:name w:val="T1454"/>
    <w:qFormat/>
    <w:uiPriority w:val="0"/>
  </w:style>
  <w:style w:type="character" w:customStyle="1" w:styleId="1275">
    <w:name w:val="T1464"/>
    <w:qFormat/>
    <w:uiPriority w:val="0"/>
  </w:style>
  <w:style w:type="character" w:customStyle="1" w:styleId="1276">
    <w:name w:val="T1474"/>
    <w:qFormat/>
    <w:uiPriority w:val="0"/>
  </w:style>
  <w:style w:type="character" w:customStyle="1" w:styleId="1277">
    <w:name w:val="T1484"/>
    <w:qFormat/>
    <w:uiPriority w:val="0"/>
  </w:style>
  <w:style w:type="character" w:customStyle="1" w:styleId="1278">
    <w:name w:val="T1494"/>
    <w:qFormat/>
    <w:uiPriority w:val="0"/>
  </w:style>
  <w:style w:type="character" w:customStyle="1" w:styleId="1279">
    <w:name w:val="T1504"/>
    <w:qFormat/>
    <w:uiPriority w:val="0"/>
  </w:style>
  <w:style w:type="character" w:customStyle="1" w:styleId="1280">
    <w:name w:val="T1517"/>
    <w:qFormat/>
    <w:uiPriority w:val="0"/>
  </w:style>
  <w:style w:type="character" w:customStyle="1" w:styleId="1281">
    <w:name w:val="T1524"/>
    <w:qFormat/>
    <w:uiPriority w:val="0"/>
  </w:style>
  <w:style w:type="character" w:customStyle="1" w:styleId="1282">
    <w:name w:val="T1534"/>
    <w:qFormat/>
    <w:uiPriority w:val="0"/>
  </w:style>
  <w:style w:type="character" w:customStyle="1" w:styleId="1283">
    <w:name w:val="T1544"/>
    <w:qFormat/>
    <w:uiPriority w:val="0"/>
  </w:style>
  <w:style w:type="character" w:customStyle="1" w:styleId="1284">
    <w:name w:val="T1554"/>
    <w:qFormat/>
    <w:uiPriority w:val="0"/>
  </w:style>
  <w:style w:type="character" w:customStyle="1" w:styleId="1285">
    <w:name w:val="T1564"/>
    <w:qFormat/>
    <w:uiPriority w:val="0"/>
  </w:style>
  <w:style w:type="character" w:customStyle="1" w:styleId="1286">
    <w:name w:val="T1574"/>
    <w:qFormat/>
    <w:uiPriority w:val="0"/>
  </w:style>
  <w:style w:type="character" w:customStyle="1" w:styleId="1287">
    <w:name w:val="T1584"/>
    <w:qFormat/>
    <w:uiPriority w:val="0"/>
  </w:style>
  <w:style w:type="character" w:customStyle="1" w:styleId="1288">
    <w:name w:val="T1594"/>
    <w:qFormat/>
    <w:uiPriority w:val="0"/>
  </w:style>
  <w:style w:type="character" w:customStyle="1" w:styleId="1289">
    <w:name w:val="T1604"/>
    <w:qFormat/>
    <w:uiPriority w:val="0"/>
  </w:style>
  <w:style w:type="character" w:customStyle="1" w:styleId="1290">
    <w:name w:val="T1616"/>
    <w:qFormat/>
    <w:uiPriority w:val="0"/>
  </w:style>
  <w:style w:type="character" w:customStyle="1" w:styleId="1291">
    <w:name w:val="T1624"/>
    <w:qFormat/>
    <w:uiPriority w:val="0"/>
  </w:style>
  <w:style w:type="character" w:customStyle="1" w:styleId="1292">
    <w:name w:val="T1634"/>
    <w:qFormat/>
    <w:uiPriority w:val="0"/>
  </w:style>
  <w:style w:type="character" w:customStyle="1" w:styleId="1293">
    <w:name w:val="T1644"/>
    <w:qFormat/>
    <w:uiPriority w:val="0"/>
  </w:style>
  <w:style w:type="character" w:customStyle="1" w:styleId="1294">
    <w:name w:val="T1653"/>
    <w:qFormat/>
    <w:uiPriority w:val="0"/>
  </w:style>
  <w:style w:type="character" w:customStyle="1" w:styleId="1295">
    <w:name w:val="T1663"/>
    <w:qFormat/>
    <w:uiPriority w:val="0"/>
  </w:style>
  <w:style w:type="character" w:customStyle="1" w:styleId="1296">
    <w:name w:val="T1673"/>
    <w:qFormat/>
    <w:uiPriority w:val="0"/>
  </w:style>
  <w:style w:type="character" w:customStyle="1" w:styleId="1297">
    <w:name w:val="T1683"/>
    <w:qFormat/>
    <w:uiPriority w:val="0"/>
  </w:style>
  <w:style w:type="character" w:customStyle="1" w:styleId="1298">
    <w:name w:val="T1693"/>
    <w:qFormat/>
    <w:uiPriority w:val="0"/>
  </w:style>
  <w:style w:type="character" w:customStyle="1" w:styleId="1299">
    <w:name w:val="T1703"/>
    <w:qFormat/>
    <w:uiPriority w:val="0"/>
  </w:style>
  <w:style w:type="character" w:customStyle="1" w:styleId="1300">
    <w:name w:val="T1715"/>
    <w:qFormat/>
    <w:uiPriority w:val="0"/>
  </w:style>
  <w:style w:type="character" w:customStyle="1" w:styleId="1301">
    <w:name w:val="T1723"/>
    <w:qFormat/>
    <w:uiPriority w:val="0"/>
    <w:rPr>
      <w:rFonts w:ascii="Symbol" w:hAnsi="Symbol" w:cs="Symbol"/>
    </w:rPr>
  </w:style>
  <w:style w:type="character" w:customStyle="1" w:styleId="1302">
    <w:name w:val="T1733"/>
    <w:qFormat/>
    <w:uiPriority w:val="0"/>
    <w:rPr>
      <w:rFonts w:ascii="Courier New" w:hAnsi="Courier New" w:cs="Courier New"/>
    </w:rPr>
  </w:style>
  <w:style w:type="character" w:customStyle="1" w:styleId="1303">
    <w:name w:val="T1742"/>
    <w:qFormat/>
    <w:uiPriority w:val="0"/>
    <w:rPr>
      <w:rFonts w:ascii="Wingdings" w:hAnsi="Wingdings" w:cs="Wingdings"/>
    </w:rPr>
  </w:style>
  <w:style w:type="character" w:customStyle="1" w:styleId="1304">
    <w:name w:val="T1752"/>
    <w:qFormat/>
    <w:uiPriority w:val="0"/>
    <w:rPr>
      <w:rFonts w:ascii="Symbol" w:hAnsi="Symbol" w:cs="Symbol"/>
    </w:rPr>
  </w:style>
  <w:style w:type="character" w:customStyle="1" w:styleId="1305">
    <w:name w:val="T1762"/>
    <w:qFormat/>
    <w:uiPriority w:val="0"/>
    <w:rPr>
      <w:rFonts w:ascii="Courier New" w:hAnsi="Courier New" w:cs="Courier New"/>
    </w:rPr>
  </w:style>
  <w:style w:type="character" w:customStyle="1" w:styleId="1306">
    <w:name w:val="T1772"/>
    <w:qFormat/>
    <w:uiPriority w:val="0"/>
    <w:rPr>
      <w:rFonts w:ascii="Wingdings" w:hAnsi="Wingdings" w:cs="Wingdings"/>
    </w:rPr>
  </w:style>
  <w:style w:type="character" w:customStyle="1" w:styleId="1307">
    <w:name w:val="T1782"/>
    <w:qFormat/>
    <w:uiPriority w:val="0"/>
    <w:rPr>
      <w:rFonts w:ascii="Symbol" w:hAnsi="Symbol" w:cs="Symbol"/>
    </w:rPr>
  </w:style>
  <w:style w:type="character" w:customStyle="1" w:styleId="1308">
    <w:name w:val="T1792"/>
    <w:qFormat/>
    <w:uiPriority w:val="0"/>
    <w:rPr>
      <w:rFonts w:ascii="Courier New" w:hAnsi="Courier New" w:cs="Courier New"/>
    </w:rPr>
  </w:style>
  <w:style w:type="character" w:customStyle="1" w:styleId="1309">
    <w:name w:val="T1802"/>
    <w:qFormat/>
    <w:uiPriority w:val="0"/>
    <w:rPr>
      <w:rFonts w:ascii="Wingdings" w:hAnsi="Wingdings" w:cs="Wingdings"/>
    </w:rPr>
  </w:style>
  <w:style w:type="character" w:customStyle="1" w:styleId="1310">
    <w:name w:val="T1814"/>
    <w:qFormat/>
    <w:uiPriority w:val="0"/>
  </w:style>
  <w:style w:type="character" w:customStyle="1" w:styleId="1311">
    <w:name w:val="T1823"/>
    <w:qFormat/>
    <w:uiPriority w:val="0"/>
  </w:style>
  <w:style w:type="character" w:customStyle="1" w:styleId="1312">
    <w:name w:val="T1832"/>
    <w:qFormat/>
    <w:uiPriority w:val="0"/>
  </w:style>
  <w:style w:type="character" w:customStyle="1" w:styleId="1313">
    <w:name w:val="T1842"/>
    <w:qFormat/>
    <w:uiPriority w:val="0"/>
  </w:style>
  <w:style w:type="character" w:customStyle="1" w:styleId="1314">
    <w:name w:val="T1852"/>
    <w:qFormat/>
    <w:uiPriority w:val="0"/>
  </w:style>
  <w:style w:type="character" w:customStyle="1" w:styleId="1315">
    <w:name w:val="T1862"/>
    <w:qFormat/>
    <w:uiPriority w:val="0"/>
  </w:style>
  <w:style w:type="character" w:customStyle="1" w:styleId="1316">
    <w:name w:val="T1872"/>
    <w:qFormat/>
    <w:uiPriority w:val="0"/>
  </w:style>
  <w:style w:type="character" w:customStyle="1" w:styleId="1317">
    <w:name w:val="T1882"/>
    <w:qFormat/>
    <w:uiPriority w:val="0"/>
  </w:style>
  <w:style w:type="character" w:customStyle="1" w:styleId="1318">
    <w:name w:val="T1892"/>
    <w:qFormat/>
    <w:uiPriority w:val="0"/>
  </w:style>
  <w:style w:type="character" w:customStyle="1" w:styleId="1319">
    <w:name w:val="T1902"/>
    <w:qFormat/>
    <w:uiPriority w:val="0"/>
  </w:style>
  <w:style w:type="character" w:customStyle="1" w:styleId="1320">
    <w:name w:val="T1914"/>
    <w:qFormat/>
    <w:uiPriority w:val="0"/>
  </w:style>
  <w:style w:type="character" w:customStyle="1" w:styleId="1321">
    <w:name w:val="T1923"/>
    <w:qFormat/>
    <w:uiPriority w:val="0"/>
  </w:style>
  <w:style w:type="character" w:customStyle="1" w:styleId="1322">
    <w:name w:val="T1932"/>
    <w:qFormat/>
    <w:uiPriority w:val="0"/>
  </w:style>
  <w:style w:type="character" w:customStyle="1" w:styleId="1323">
    <w:name w:val="T1942"/>
    <w:qFormat/>
    <w:uiPriority w:val="0"/>
  </w:style>
  <w:style w:type="character" w:customStyle="1" w:styleId="1324">
    <w:name w:val="T1952"/>
    <w:qFormat/>
    <w:uiPriority w:val="0"/>
  </w:style>
  <w:style w:type="character" w:customStyle="1" w:styleId="1325">
    <w:name w:val="T1962"/>
    <w:qFormat/>
    <w:uiPriority w:val="0"/>
  </w:style>
  <w:style w:type="character" w:customStyle="1" w:styleId="1326">
    <w:name w:val="T1972"/>
    <w:qFormat/>
    <w:uiPriority w:val="0"/>
  </w:style>
  <w:style w:type="character" w:customStyle="1" w:styleId="1327">
    <w:name w:val="T1982"/>
    <w:qFormat/>
    <w:uiPriority w:val="0"/>
  </w:style>
  <w:style w:type="character" w:customStyle="1" w:styleId="1328">
    <w:name w:val="T1105"/>
    <w:qFormat/>
    <w:uiPriority w:val="0"/>
  </w:style>
  <w:style w:type="character" w:customStyle="1" w:styleId="1329">
    <w:name w:val="T218"/>
    <w:qFormat/>
    <w:uiPriority w:val="0"/>
  </w:style>
  <w:style w:type="character" w:customStyle="1" w:styleId="1330">
    <w:name w:val="T318"/>
    <w:qFormat/>
    <w:uiPriority w:val="0"/>
  </w:style>
  <w:style w:type="character" w:customStyle="1" w:styleId="1331">
    <w:name w:val="T418"/>
    <w:qFormat/>
    <w:uiPriority w:val="0"/>
  </w:style>
  <w:style w:type="character" w:customStyle="1" w:styleId="1332">
    <w:name w:val="T518"/>
    <w:qFormat/>
    <w:uiPriority w:val="0"/>
  </w:style>
  <w:style w:type="character" w:customStyle="1" w:styleId="1333">
    <w:name w:val="T618"/>
    <w:qFormat/>
    <w:uiPriority w:val="0"/>
  </w:style>
  <w:style w:type="character" w:customStyle="1" w:styleId="1334">
    <w:name w:val="T718"/>
    <w:qFormat/>
    <w:uiPriority w:val="0"/>
  </w:style>
  <w:style w:type="character" w:customStyle="1" w:styleId="1335">
    <w:name w:val="T818"/>
    <w:qFormat/>
    <w:uiPriority w:val="0"/>
  </w:style>
  <w:style w:type="character" w:customStyle="1" w:styleId="1336">
    <w:name w:val="T918"/>
    <w:qFormat/>
    <w:uiPriority w:val="0"/>
  </w:style>
  <w:style w:type="character" w:customStyle="1" w:styleId="1337">
    <w:name w:val="T1018"/>
    <w:qFormat/>
    <w:uiPriority w:val="0"/>
  </w:style>
  <w:style w:type="character" w:customStyle="1" w:styleId="1338">
    <w:name w:val="T1118"/>
    <w:qFormat/>
    <w:uiPriority w:val="0"/>
  </w:style>
  <w:style w:type="character" w:customStyle="1" w:styleId="1339">
    <w:name w:val="T1218"/>
    <w:qFormat/>
    <w:uiPriority w:val="0"/>
  </w:style>
  <w:style w:type="character" w:customStyle="1" w:styleId="1340">
    <w:name w:val="T1318"/>
    <w:qFormat/>
    <w:uiPriority w:val="0"/>
  </w:style>
  <w:style w:type="character" w:customStyle="1" w:styleId="1341">
    <w:name w:val="T1418"/>
    <w:qFormat/>
    <w:uiPriority w:val="0"/>
  </w:style>
  <w:style w:type="character" w:customStyle="1" w:styleId="1342">
    <w:name w:val="T1518"/>
    <w:qFormat/>
    <w:uiPriority w:val="0"/>
  </w:style>
  <w:style w:type="character" w:customStyle="1" w:styleId="1343">
    <w:name w:val="T1617"/>
    <w:qFormat/>
    <w:uiPriority w:val="0"/>
  </w:style>
  <w:style w:type="character" w:customStyle="1" w:styleId="1344">
    <w:name w:val="T1716"/>
    <w:qFormat/>
    <w:uiPriority w:val="0"/>
  </w:style>
  <w:style w:type="character" w:customStyle="1" w:styleId="1345">
    <w:name w:val="T1815"/>
    <w:qFormat/>
    <w:uiPriority w:val="0"/>
  </w:style>
  <w:style w:type="character" w:customStyle="1" w:styleId="1346">
    <w:name w:val="T1915"/>
    <w:qFormat/>
    <w:uiPriority w:val="0"/>
    <w:rPr>
      <w:rFonts w:ascii="Symbol" w:hAnsi="Symbol" w:cs="Symbol"/>
    </w:rPr>
  </w:style>
  <w:style w:type="character" w:customStyle="1" w:styleId="1347">
    <w:name w:val="T205"/>
    <w:qFormat/>
    <w:uiPriority w:val="0"/>
    <w:rPr>
      <w:rFonts w:ascii="Courier New" w:hAnsi="Courier New" w:cs="Courier New"/>
    </w:rPr>
  </w:style>
  <w:style w:type="character" w:customStyle="1" w:styleId="1348">
    <w:name w:val="T219"/>
    <w:qFormat/>
    <w:uiPriority w:val="0"/>
    <w:rPr>
      <w:rFonts w:ascii="Wingdings" w:hAnsi="Wingdings" w:cs="Wingdings"/>
    </w:rPr>
  </w:style>
  <w:style w:type="character" w:customStyle="1" w:styleId="1349">
    <w:name w:val="T225"/>
    <w:qFormat/>
    <w:uiPriority w:val="0"/>
    <w:rPr>
      <w:rFonts w:ascii="Symbol" w:hAnsi="Symbol" w:cs="Symbol"/>
    </w:rPr>
  </w:style>
  <w:style w:type="character" w:customStyle="1" w:styleId="1350">
    <w:name w:val="T235"/>
    <w:qFormat/>
    <w:uiPriority w:val="0"/>
    <w:rPr>
      <w:rFonts w:ascii="Courier New" w:hAnsi="Courier New" w:cs="Courier New"/>
    </w:rPr>
  </w:style>
  <w:style w:type="character" w:customStyle="1" w:styleId="1351">
    <w:name w:val="T245"/>
    <w:qFormat/>
    <w:uiPriority w:val="0"/>
    <w:rPr>
      <w:rFonts w:ascii="Wingdings" w:hAnsi="Wingdings" w:cs="Wingdings"/>
    </w:rPr>
  </w:style>
  <w:style w:type="character" w:customStyle="1" w:styleId="1352">
    <w:name w:val="T255"/>
    <w:qFormat/>
    <w:uiPriority w:val="0"/>
    <w:rPr>
      <w:rFonts w:ascii="Symbol" w:hAnsi="Symbol" w:cs="Symbol"/>
    </w:rPr>
  </w:style>
  <w:style w:type="character" w:customStyle="1" w:styleId="1353">
    <w:name w:val="T265"/>
    <w:qFormat/>
    <w:uiPriority w:val="0"/>
    <w:rPr>
      <w:rFonts w:ascii="Courier New" w:hAnsi="Courier New" w:cs="Courier New"/>
    </w:rPr>
  </w:style>
  <w:style w:type="character" w:customStyle="1" w:styleId="1354">
    <w:name w:val="T275"/>
    <w:qFormat/>
    <w:uiPriority w:val="0"/>
    <w:rPr>
      <w:rFonts w:ascii="Wingdings" w:hAnsi="Wingdings" w:cs="Wingdings"/>
    </w:rPr>
  </w:style>
  <w:style w:type="character" w:customStyle="1" w:styleId="1355">
    <w:name w:val="T285"/>
    <w:qFormat/>
    <w:uiPriority w:val="0"/>
    <w:rPr>
      <w:rFonts w:ascii="Wingdings" w:hAnsi="Wingdings" w:cs="Wingdings"/>
    </w:rPr>
  </w:style>
  <w:style w:type="character" w:customStyle="1" w:styleId="1356">
    <w:name w:val="T295"/>
    <w:qFormat/>
    <w:uiPriority w:val="0"/>
  </w:style>
  <w:style w:type="character" w:customStyle="1" w:styleId="1357">
    <w:name w:val="T305"/>
    <w:qFormat/>
    <w:uiPriority w:val="0"/>
  </w:style>
  <w:style w:type="character" w:customStyle="1" w:styleId="1358">
    <w:name w:val="T319"/>
    <w:qFormat/>
    <w:uiPriority w:val="0"/>
  </w:style>
  <w:style w:type="character" w:customStyle="1" w:styleId="1359">
    <w:name w:val="T325"/>
    <w:qFormat/>
    <w:uiPriority w:val="0"/>
  </w:style>
  <w:style w:type="character" w:customStyle="1" w:styleId="1360">
    <w:name w:val="T335"/>
    <w:qFormat/>
    <w:uiPriority w:val="0"/>
  </w:style>
  <w:style w:type="character" w:customStyle="1" w:styleId="1361">
    <w:name w:val="T345"/>
    <w:qFormat/>
    <w:uiPriority w:val="0"/>
  </w:style>
  <w:style w:type="character" w:customStyle="1" w:styleId="1362">
    <w:name w:val="T355"/>
    <w:qFormat/>
    <w:uiPriority w:val="0"/>
  </w:style>
  <w:style w:type="character" w:customStyle="1" w:styleId="1363">
    <w:name w:val="T365"/>
    <w:qFormat/>
    <w:uiPriority w:val="0"/>
  </w:style>
  <w:style w:type="character" w:customStyle="1" w:styleId="1364">
    <w:name w:val="T375"/>
    <w:qFormat/>
    <w:uiPriority w:val="0"/>
  </w:style>
  <w:style w:type="character" w:customStyle="1" w:styleId="1365">
    <w:name w:val="T385"/>
    <w:qFormat/>
    <w:uiPriority w:val="0"/>
  </w:style>
  <w:style w:type="character" w:customStyle="1" w:styleId="1366">
    <w:name w:val="T395"/>
    <w:qFormat/>
    <w:uiPriority w:val="0"/>
  </w:style>
  <w:style w:type="character" w:customStyle="1" w:styleId="1367">
    <w:name w:val="T405"/>
    <w:qFormat/>
    <w:uiPriority w:val="0"/>
  </w:style>
  <w:style w:type="character" w:customStyle="1" w:styleId="1368">
    <w:name w:val="T419"/>
    <w:qFormat/>
    <w:uiPriority w:val="0"/>
  </w:style>
  <w:style w:type="character" w:customStyle="1" w:styleId="1369">
    <w:name w:val="T425"/>
    <w:qFormat/>
    <w:uiPriority w:val="0"/>
  </w:style>
  <w:style w:type="character" w:customStyle="1" w:styleId="1370">
    <w:name w:val="T435"/>
    <w:qFormat/>
    <w:uiPriority w:val="0"/>
  </w:style>
  <w:style w:type="character" w:customStyle="1" w:styleId="1371">
    <w:name w:val="T445"/>
    <w:qFormat/>
    <w:uiPriority w:val="0"/>
  </w:style>
  <w:style w:type="character" w:customStyle="1" w:styleId="1372">
    <w:name w:val="T455"/>
    <w:qFormat/>
    <w:uiPriority w:val="0"/>
  </w:style>
  <w:style w:type="character" w:customStyle="1" w:styleId="1373">
    <w:name w:val="T465"/>
    <w:qFormat/>
    <w:uiPriority w:val="0"/>
    <w:rPr>
      <w:rFonts w:ascii="Symbol" w:hAnsi="Symbol" w:cs="Symbol"/>
    </w:rPr>
  </w:style>
  <w:style w:type="character" w:customStyle="1" w:styleId="1374">
    <w:name w:val="T475"/>
    <w:qFormat/>
    <w:uiPriority w:val="0"/>
    <w:rPr>
      <w:rFonts w:ascii="OpenSymbol" w:hAnsi="OpenSymbol" w:cs="OpenSymbol"/>
    </w:rPr>
  </w:style>
  <w:style w:type="character" w:customStyle="1" w:styleId="1375">
    <w:name w:val="T485"/>
    <w:qFormat/>
    <w:uiPriority w:val="0"/>
    <w:rPr>
      <w:rFonts w:ascii="OpenSymbol" w:hAnsi="OpenSymbol" w:cs="OpenSymbol"/>
    </w:rPr>
  </w:style>
  <w:style w:type="character" w:customStyle="1" w:styleId="1376">
    <w:name w:val="T495"/>
    <w:qFormat/>
    <w:uiPriority w:val="0"/>
    <w:rPr>
      <w:rFonts w:ascii="Symbol" w:hAnsi="Symbol" w:cs="Symbol"/>
    </w:rPr>
  </w:style>
  <w:style w:type="character" w:customStyle="1" w:styleId="1377">
    <w:name w:val="T505"/>
    <w:qFormat/>
    <w:uiPriority w:val="0"/>
    <w:rPr>
      <w:rFonts w:ascii="OpenSymbol" w:hAnsi="OpenSymbol" w:cs="OpenSymbol"/>
    </w:rPr>
  </w:style>
  <w:style w:type="character" w:customStyle="1" w:styleId="1378">
    <w:name w:val="T519"/>
    <w:qFormat/>
    <w:uiPriority w:val="0"/>
    <w:rPr>
      <w:rFonts w:ascii="OpenSymbol" w:hAnsi="OpenSymbol" w:cs="OpenSymbol"/>
    </w:rPr>
  </w:style>
  <w:style w:type="character" w:customStyle="1" w:styleId="1379">
    <w:name w:val="T525"/>
    <w:qFormat/>
    <w:uiPriority w:val="0"/>
    <w:rPr>
      <w:rFonts w:ascii="Symbol" w:hAnsi="Symbol" w:cs="Symbol"/>
    </w:rPr>
  </w:style>
  <w:style w:type="character" w:customStyle="1" w:styleId="1380">
    <w:name w:val="T535"/>
    <w:qFormat/>
    <w:uiPriority w:val="0"/>
    <w:rPr>
      <w:rFonts w:ascii="OpenSymbol" w:hAnsi="OpenSymbol" w:cs="OpenSymbol"/>
    </w:rPr>
  </w:style>
  <w:style w:type="character" w:customStyle="1" w:styleId="1381">
    <w:name w:val="T545"/>
    <w:qFormat/>
    <w:uiPriority w:val="0"/>
    <w:rPr>
      <w:rFonts w:ascii="OpenSymbol" w:hAnsi="OpenSymbol" w:cs="OpenSymbol"/>
    </w:rPr>
  </w:style>
  <w:style w:type="character" w:customStyle="1" w:styleId="1382">
    <w:name w:val="T555"/>
    <w:qFormat/>
    <w:uiPriority w:val="0"/>
    <w:rPr>
      <w:rFonts w:ascii="Symbol" w:hAnsi="Symbol" w:cs="Symbol"/>
    </w:rPr>
  </w:style>
  <w:style w:type="character" w:customStyle="1" w:styleId="1383">
    <w:name w:val="T565"/>
    <w:qFormat/>
    <w:uiPriority w:val="0"/>
    <w:rPr>
      <w:rFonts w:ascii="Courier New" w:hAnsi="Courier New" w:cs="Courier New"/>
    </w:rPr>
  </w:style>
  <w:style w:type="character" w:customStyle="1" w:styleId="1384">
    <w:name w:val="T575"/>
    <w:qFormat/>
    <w:uiPriority w:val="0"/>
    <w:rPr>
      <w:rFonts w:ascii="Wingdings" w:hAnsi="Wingdings" w:cs="Wingdings"/>
    </w:rPr>
  </w:style>
  <w:style w:type="character" w:customStyle="1" w:styleId="1385">
    <w:name w:val="T585"/>
    <w:qFormat/>
    <w:uiPriority w:val="0"/>
    <w:rPr>
      <w:rFonts w:ascii="Symbol" w:hAnsi="Symbol" w:cs="Symbol"/>
    </w:rPr>
  </w:style>
  <w:style w:type="character" w:customStyle="1" w:styleId="1386">
    <w:name w:val="T595"/>
    <w:qFormat/>
    <w:uiPriority w:val="0"/>
    <w:rPr>
      <w:rFonts w:ascii="Courier New" w:hAnsi="Courier New" w:cs="Courier New"/>
    </w:rPr>
  </w:style>
  <w:style w:type="character" w:customStyle="1" w:styleId="1387">
    <w:name w:val="T605"/>
    <w:qFormat/>
    <w:uiPriority w:val="0"/>
    <w:rPr>
      <w:rFonts w:ascii="Wingdings" w:hAnsi="Wingdings" w:cs="Wingdings"/>
    </w:rPr>
  </w:style>
  <w:style w:type="character" w:customStyle="1" w:styleId="1388">
    <w:name w:val="T619"/>
    <w:qFormat/>
    <w:uiPriority w:val="0"/>
    <w:rPr>
      <w:rFonts w:ascii="Symbol" w:hAnsi="Symbol" w:cs="Symbol"/>
    </w:rPr>
  </w:style>
  <w:style w:type="character" w:customStyle="1" w:styleId="1389">
    <w:name w:val="T625"/>
    <w:qFormat/>
    <w:uiPriority w:val="0"/>
    <w:rPr>
      <w:rFonts w:ascii="Courier New" w:hAnsi="Courier New" w:cs="Courier New"/>
    </w:rPr>
  </w:style>
  <w:style w:type="character" w:customStyle="1" w:styleId="1390">
    <w:name w:val="T635"/>
    <w:qFormat/>
    <w:uiPriority w:val="0"/>
    <w:rPr>
      <w:rFonts w:ascii="Wingdings" w:hAnsi="Wingdings" w:cs="Wingdings"/>
    </w:rPr>
  </w:style>
  <w:style w:type="character" w:customStyle="1" w:styleId="1391">
    <w:name w:val="T645"/>
    <w:qFormat/>
    <w:uiPriority w:val="0"/>
  </w:style>
  <w:style w:type="character" w:customStyle="1" w:styleId="1392">
    <w:name w:val="T655"/>
    <w:qFormat/>
    <w:uiPriority w:val="0"/>
  </w:style>
  <w:style w:type="character" w:customStyle="1" w:styleId="1393">
    <w:name w:val="T665"/>
    <w:qFormat/>
    <w:uiPriority w:val="0"/>
  </w:style>
  <w:style w:type="character" w:customStyle="1" w:styleId="1394">
    <w:name w:val="T675"/>
    <w:qFormat/>
    <w:uiPriority w:val="0"/>
  </w:style>
  <w:style w:type="character" w:customStyle="1" w:styleId="1395">
    <w:name w:val="T685"/>
    <w:qFormat/>
    <w:uiPriority w:val="0"/>
  </w:style>
  <w:style w:type="character" w:customStyle="1" w:styleId="1396">
    <w:name w:val="T695"/>
    <w:qFormat/>
    <w:uiPriority w:val="0"/>
  </w:style>
  <w:style w:type="character" w:customStyle="1" w:styleId="1397">
    <w:name w:val="T705"/>
    <w:qFormat/>
    <w:uiPriority w:val="0"/>
  </w:style>
  <w:style w:type="character" w:customStyle="1" w:styleId="1398">
    <w:name w:val="T719"/>
    <w:qFormat/>
    <w:uiPriority w:val="0"/>
  </w:style>
  <w:style w:type="character" w:customStyle="1" w:styleId="1399">
    <w:name w:val="T725"/>
    <w:qFormat/>
    <w:uiPriority w:val="0"/>
  </w:style>
  <w:style w:type="character" w:customStyle="1" w:styleId="1400">
    <w:name w:val="T735"/>
    <w:qFormat/>
    <w:uiPriority w:val="0"/>
  </w:style>
  <w:style w:type="character" w:customStyle="1" w:styleId="1401">
    <w:name w:val="T745"/>
    <w:qFormat/>
    <w:uiPriority w:val="0"/>
  </w:style>
  <w:style w:type="character" w:customStyle="1" w:styleId="1402">
    <w:name w:val="T755"/>
    <w:qFormat/>
    <w:uiPriority w:val="0"/>
  </w:style>
  <w:style w:type="character" w:customStyle="1" w:styleId="1403">
    <w:name w:val="T765"/>
    <w:qFormat/>
    <w:uiPriority w:val="0"/>
  </w:style>
  <w:style w:type="character" w:customStyle="1" w:styleId="1404">
    <w:name w:val="T775"/>
    <w:qFormat/>
    <w:uiPriority w:val="0"/>
  </w:style>
  <w:style w:type="character" w:customStyle="1" w:styleId="1405">
    <w:name w:val="T785"/>
    <w:qFormat/>
    <w:uiPriority w:val="0"/>
  </w:style>
  <w:style w:type="character" w:customStyle="1" w:styleId="1406">
    <w:name w:val="T795"/>
    <w:qFormat/>
    <w:uiPriority w:val="0"/>
  </w:style>
  <w:style w:type="character" w:customStyle="1" w:styleId="1407">
    <w:name w:val="T805"/>
    <w:qFormat/>
    <w:uiPriority w:val="0"/>
  </w:style>
  <w:style w:type="character" w:customStyle="1" w:styleId="1408">
    <w:name w:val="T819"/>
    <w:qFormat/>
    <w:uiPriority w:val="0"/>
  </w:style>
  <w:style w:type="character" w:customStyle="1" w:styleId="1409">
    <w:name w:val="T825"/>
    <w:qFormat/>
    <w:uiPriority w:val="0"/>
  </w:style>
  <w:style w:type="character" w:customStyle="1" w:styleId="1410">
    <w:name w:val="T835"/>
    <w:qFormat/>
    <w:uiPriority w:val="0"/>
  </w:style>
  <w:style w:type="character" w:customStyle="1" w:styleId="1411">
    <w:name w:val="T845"/>
    <w:qFormat/>
    <w:uiPriority w:val="0"/>
  </w:style>
  <w:style w:type="character" w:customStyle="1" w:styleId="1412">
    <w:name w:val="T855"/>
    <w:qFormat/>
    <w:uiPriority w:val="0"/>
  </w:style>
  <w:style w:type="character" w:customStyle="1" w:styleId="1413">
    <w:name w:val="T865"/>
    <w:qFormat/>
    <w:uiPriority w:val="0"/>
  </w:style>
  <w:style w:type="character" w:customStyle="1" w:styleId="1414">
    <w:name w:val="T875"/>
    <w:qFormat/>
    <w:uiPriority w:val="0"/>
  </w:style>
  <w:style w:type="character" w:customStyle="1" w:styleId="1415">
    <w:name w:val="T885"/>
    <w:qFormat/>
    <w:uiPriority w:val="0"/>
  </w:style>
  <w:style w:type="character" w:customStyle="1" w:styleId="1416">
    <w:name w:val="T895"/>
    <w:qFormat/>
    <w:uiPriority w:val="0"/>
  </w:style>
  <w:style w:type="character" w:customStyle="1" w:styleId="1417">
    <w:name w:val="T905"/>
    <w:qFormat/>
    <w:uiPriority w:val="0"/>
  </w:style>
  <w:style w:type="character" w:customStyle="1" w:styleId="1418">
    <w:name w:val="T919"/>
    <w:qFormat/>
    <w:uiPriority w:val="0"/>
  </w:style>
  <w:style w:type="character" w:customStyle="1" w:styleId="1419">
    <w:name w:val="T925"/>
    <w:qFormat/>
    <w:uiPriority w:val="0"/>
  </w:style>
  <w:style w:type="character" w:customStyle="1" w:styleId="1420">
    <w:name w:val="T935"/>
    <w:qFormat/>
    <w:uiPriority w:val="0"/>
  </w:style>
  <w:style w:type="character" w:customStyle="1" w:styleId="1421">
    <w:name w:val="T945"/>
    <w:qFormat/>
    <w:uiPriority w:val="0"/>
  </w:style>
  <w:style w:type="character" w:customStyle="1" w:styleId="1422">
    <w:name w:val="T955"/>
    <w:qFormat/>
    <w:uiPriority w:val="0"/>
  </w:style>
  <w:style w:type="character" w:customStyle="1" w:styleId="1423">
    <w:name w:val="T965"/>
    <w:qFormat/>
    <w:uiPriority w:val="0"/>
  </w:style>
  <w:style w:type="character" w:customStyle="1" w:styleId="1424">
    <w:name w:val="T975"/>
    <w:qFormat/>
    <w:uiPriority w:val="0"/>
  </w:style>
  <w:style w:type="character" w:customStyle="1" w:styleId="1425">
    <w:name w:val="T985"/>
    <w:qFormat/>
    <w:uiPriority w:val="0"/>
  </w:style>
  <w:style w:type="character" w:customStyle="1" w:styleId="1426">
    <w:name w:val="T995"/>
    <w:qFormat/>
    <w:uiPriority w:val="0"/>
  </w:style>
  <w:style w:type="character" w:customStyle="1" w:styleId="1427">
    <w:name w:val="T1005"/>
    <w:qFormat/>
    <w:uiPriority w:val="0"/>
  </w:style>
  <w:style w:type="character" w:customStyle="1" w:styleId="1428">
    <w:name w:val="T1019"/>
    <w:qFormat/>
    <w:uiPriority w:val="0"/>
  </w:style>
  <w:style w:type="character" w:customStyle="1" w:styleId="1429">
    <w:name w:val="T1025"/>
    <w:qFormat/>
    <w:uiPriority w:val="0"/>
  </w:style>
  <w:style w:type="character" w:customStyle="1" w:styleId="1430">
    <w:name w:val="T1035"/>
    <w:qFormat/>
    <w:uiPriority w:val="0"/>
  </w:style>
  <w:style w:type="character" w:customStyle="1" w:styleId="1431">
    <w:name w:val="T1045"/>
    <w:qFormat/>
    <w:uiPriority w:val="0"/>
  </w:style>
  <w:style w:type="character" w:customStyle="1" w:styleId="1432">
    <w:name w:val="T1055"/>
    <w:qFormat/>
    <w:uiPriority w:val="0"/>
  </w:style>
  <w:style w:type="character" w:customStyle="1" w:styleId="1433">
    <w:name w:val="T1065"/>
    <w:qFormat/>
    <w:uiPriority w:val="0"/>
  </w:style>
  <w:style w:type="character" w:customStyle="1" w:styleId="1434">
    <w:name w:val="T1075"/>
    <w:qFormat/>
    <w:uiPriority w:val="0"/>
  </w:style>
  <w:style w:type="character" w:customStyle="1" w:styleId="1435">
    <w:name w:val="T1085"/>
    <w:qFormat/>
    <w:uiPriority w:val="0"/>
  </w:style>
  <w:style w:type="character" w:customStyle="1" w:styleId="1436">
    <w:name w:val="T1095"/>
    <w:qFormat/>
    <w:uiPriority w:val="0"/>
  </w:style>
  <w:style w:type="character" w:customStyle="1" w:styleId="1437">
    <w:name w:val="T1106"/>
    <w:qFormat/>
    <w:uiPriority w:val="0"/>
  </w:style>
  <w:style w:type="character" w:customStyle="1" w:styleId="1438">
    <w:name w:val="T1119"/>
    <w:qFormat/>
    <w:uiPriority w:val="0"/>
  </w:style>
  <w:style w:type="character" w:customStyle="1" w:styleId="1439">
    <w:name w:val="T1125"/>
    <w:qFormat/>
    <w:uiPriority w:val="0"/>
  </w:style>
  <w:style w:type="character" w:customStyle="1" w:styleId="1440">
    <w:name w:val="T1135"/>
    <w:qFormat/>
    <w:uiPriority w:val="0"/>
  </w:style>
  <w:style w:type="character" w:customStyle="1" w:styleId="1441">
    <w:name w:val="T1145"/>
    <w:qFormat/>
    <w:uiPriority w:val="0"/>
  </w:style>
  <w:style w:type="character" w:customStyle="1" w:styleId="1442">
    <w:name w:val="T1155"/>
    <w:qFormat/>
    <w:uiPriority w:val="0"/>
  </w:style>
  <w:style w:type="character" w:customStyle="1" w:styleId="1443">
    <w:name w:val="T1165"/>
    <w:qFormat/>
    <w:uiPriority w:val="0"/>
  </w:style>
  <w:style w:type="character" w:customStyle="1" w:styleId="1444">
    <w:name w:val="T1175"/>
    <w:qFormat/>
    <w:uiPriority w:val="0"/>
  </w:style>
  <w:style w:type="character" w:customStyle="1" w:styleId="1445">
    <w:name w:val="T1185"/>
    <w:qFormat/>
    <w:uiPriority w:val="0"/>
  </w:style>
  <w:style w:type="character" w:customStyle="1" w:styleId="1446">
    <w:name w:val="T1195"/>
    <w:qFormat/>
    <w:uiPriority w:val="0"/>
  </w:style>
  <w:style w:type="character" w:customStyle="1" w:styleId="1447">
    <w:name w:val="T1205"/>
    <w:qFormat/>
    <w:uiPriority w:val="0"/>
  </w:style>
  <w:style w:type="character" w:customStyle="1" w:styleId="1448">
    <w:name w:val="T1219"/>
    <w:qFormat/>
    <w:uiPriority w:val="0"/>
  </w:style>
  <w:style w:type="character" w:customStyle="1" w:styleId="1449">
    <w:name w:val="T1225"/>
    <w:qFormat/>
    <w:uiPriority w:val="0"/>
  </w:style>
  <w:style w:type="character" w:customStyle="1" w:styleId="1450">
    <w:name w:val="T1235"/>
    <w:qFormat/>
    <w:uiPriority w:val="0"/>
  </w:style>
  <w:style w:type="character" w:customStyle="1" w:styleId="1451">
    <w:name w:val="T1245"/>
    <w:qFormat/>
    <w:uiPriority w:val="0"/>
  </w:style>
  <w:style w:type="character" w:customStyle="1" w:styleId="1452">
    <w:name w:val="T1255"/>
    <w:qFormat/>
    <w:uiPriority w:val="0"/>
  </w:style>
  <w:style w:type="character" w:customStyle="1" w:styleId="1453">
    <w:name w:val="T1265"/>
    <w:qFormat/>
    <w:uiPriority w:val="0"/>
  </w:style>
  <w:style w:type="character" w:customStyle="1" w:styleId="1454">
    <w:name w:val="T1275"/>
    <w:qFormat/>
    <w:uiPriority w:val="0"/>
  </w:style>
  <w:style w:type="character" w:customStyle="1" w:styleId="1455">
    <w:name w:val="T1285"/>
    <w:qFormat/>
    <w:uiPriority w:val="0"/>
  </w:style>
  <w:style w:type="character" w:customStyle="1" w:styleId="1456">
    <w:name w:val="T1295"/>
    <w:qFormat/>
    <w:uiPriority w:val="0"/>
  </w:style>
  <w:style w:type="character" w:customStyle="1" w:styleId="1457">
    <w:name w:val="T1305"/>
    <w:qFormat/>
    <w:uiPriority w:val="0"/>
  </w:style>
  <w:style w:type="character" w:customStyle="1" w:styleId="1458">
    <w:name w:val="T1319"/>
    <w:qFormat/>
    <w:uiPriority w:val="0"/>
  </w:style>
  <w:style w:type="character" w:customStyle="1" w:styleId="1459">
    <w:name w:val="T1325"/>
    <w:qFormat/>
    <w:uiPriority w:val="0"/>
  </w:style>
  <w:style w:type="character" w:customStyle="1" w:styleId="1460">
    <w:name w:val="T1335"/>
    <w:qFormat/>
    <w:uiPriority w:val="0"/>
  </w:style>
  <w:style w:type="character" w:customStyle="1" w:styleId="1461">
    <w:name w:val="T1345"/>
    <w:qFormat/>
    <w:uiPriority w:val="0"/>
  </w:style>
  <w:style w:type="character" w:customStyle="1" w:styleId="1462">
    <w:name w:val="T1355"/>
    <w:qFormat/>
    <w:uiPriority w:val="0"/>
  </w:style>
  <w:style w:type="character" w:customStyle="1" w:styleId="1463">
    <w:name w:val="T1365"/>
    <w:qFormat/>
    <w:uiPriority w:val="0"/>
  </w:style>
  <w:style w:type="character" w:customStyle="1" w:styleId="1464">
    <w:name w:val="T1375"/>
    <w:qFormat/>
    <w:uiPriority w:val="0"/>
  </w:style>
  <w:style w:type="character" w:customStyle="1" w:styleId="1465">
    <w:name w:val="T1385"/>
    <w:qFormat/>
    <w:uiPriority w:val="0"/>
  </w:style>
  <w:style w:type="character" w:customStyle="1" w:styleId="1466">
    <w:name w:val="T1395"/>
    <w:qFormat/>
    <w:uiPriority w:val="0"/>
  </w:style>
  <w:style w:type="character" w:customStyle="1" w:styleId="1467">
    <w:name w:val="T1405"/>
    <w:qFormat/>
    <w:uiPriority w:val="0"/>
  </w:style>
  <w:style w:type="character" w:customStyle="1" w:styleId="1468">
    <w:name w:val="T1419"/>
    <w:qFormat/>
    <w:uiPriority w:val="0"/>
  </w:style>
  <w:style w:type="character" w:customStyle="1" w:styleId="1469">
    <w:name w:val="T1425"/>
    <w:qFormat/>
    <w:uiPriority w:val="0"/>
  </w:style>
  <w:style w:type="character" w:customStyle="1" w:styleId="1470">
    <w:name w:val="T1435"/>
    <w:qFormat/>
    <w:uiPriority w:val="0"/>
  </w:style>
  <w:style w:type="character" w:customStyle="1" w:styleId="1471">
    <w:name w:val="T1445"/>
    <w:qFormat/>
    <w:uiPriority w:val="0"/>
  </w:style>
  <w:style w:type="character" w:customStyle="1" w:styleId="1472">
    <w:name w:val="T1455"/>
    <w:qFormat/>
    <w:uiPriority w:val="0"/>
  </w:style>
  <w:style w:type="character" w:customStyle="1" w:styleId="1473">
    <w:name w:val="T1465"/>
    <w:qFormat/>
    <w:uiPriority w:val="0"/>
  </w:style>
  <w:style w:type="character" w:customStyle="1" w:styleId="1474">
    <w:name w:val="T1475"/>
    <w:qFormat/>
    <w:uiPriority w:val="0"/>
  </w:style>
  <w:style w:type="character" w:customStyle="1" w:styleId="1475">
    <w:name w:val="T1485"/>
    <w:qFormat/>
    <w:uiPriority w:val="0"/>
  </w:style>
  <w:style w:type="character" w:customStyle="1" w:styleId="1476">
    <w:name w:val="T1495"/>
    <w:qFormat/>
    <w:uiPriority w:val="0"/>
  </w:style>
  <w:style w:type="character" w:customStyle="1" w:styleId="1477">
    <w:name w:val="T1505"/>
    <w:qFormat/>
    <w:uiPriority w:val="0"/>
  </w:style>
  <w:style w:type="character" w:customStyle="1" w:styleId="1478">
    <w:name w:val="T1519"/>
    <w:qFormat/>
    <w:uiPriority w:val="0"/>
  </w:style>
  <w:style w:type="character" w:customStyle="1" w:styleId="1479">
    <w:name w:val="T1525"/>
    <w:qFormat/>
    <w:uiPriority w:val="0"/>
  </w:style>
  <w:style w:type="character" w:customStyle="1" w:styleId="1480">
    <w:name w:val="T1535"/>
    <w:qFormat/>
    <w:uiPriority w:val="0"/>
  </w:style>
  <w:style w:type="character" w:customStyle="1" w:styleId="1481">
    <w:name w:val="T1545"/>
    <w:qFormat/>
    <w:uiPriority w:val="0"/>
  </w:style>
  <w:style w:type="character" w:customStyle="1" w:styleId="1482">
    <w:name w:val="T1555"/>
    <w:qFormat/>
    <w:uiPriority w:val="0"/>
  </w:style>
  <w:style w:type="character" w:customStyle="1" w:styleId="1483">
    <w:name w:val="T1565"/>
    <w:qFormat/>
    <w:uiPriority w:val="0"/>
  </w:style>
  <w:style w:type="character" w:customStyle="1" w:styleId="1484">
    <w:name w:val="T1575"/>
    <w:qFormat/>
    <w:uiPriority w:val="0"/>
  </w:style>
  <w:style w:type="character" w:customStyle="1" w:styleId="1485">
    <w:name w:val="T1585"/>
    <w:qFormat/>
    <w:uiPriority w:val="0"/>
  </w:style>
  <w:style w:type="character" w:customStyle="1" w:styleId="1486">
    <w:name w:val="T1595"/>
    <w:qFormat/>
    <w:uiPriority w:val="0"/>
  </w:style>
  <w:style w:type="character" w:customStyle="1" w:styleId="1487">
    <w:name w:val="T1605"/>
    <w:qFormat/>
    <w:uiPriority w:val="0"/>
  </w:style>
  <w:style w:type="character" w:customStyle="1" w:styleId="1488">
    <w:name w:val="T1618"/>
    <w:qFormat/>
    <w:uiPriority w:val="0"/>
  </w:style>
  <w:style w:type="character" w:customStyle="1" w:styleId="1489">
    <w:name w:val="T1625"/>
    <w:qFormat/>
    <w:uiPriority w:val="0"/>
  </w:style>
  <w:style w:type="character" w:customStyle="1" w:styleId="1490">
    <w:name w:val="T1635"/>
    <w:qFormat/>
    <w:uiPriority w:val="0"/>
  </w:style>
  <w:style w:type="character" w:customStyle="1" w:styleId="1491">
    <w:name w:val="T1645"/>
    <w:qFormat/>
    <w:uiPriority w:val="0"/>
  </w:style>
  <w:style w:type="character" w:customStyle="1" w:styleId="1492">
    <w:name w:val="T1654"/>
    <w:qFormat/>
    <w:uiPriority w:val="0"/>
  </w:style>
  <w:style w:type="character" w:customStyle="1" w:styleId="1493">
    <w:name w:val="T1664"/>
    <w:qFormat/>
    <w:uiPriority w:val="0"/>
  </w:style>
  <w:style w:type="character" w:customStyle="1" w:styleId="1494">
    <w:name w:val="T1674"/>
    <w:qFormat/>
    <w:uiPriority w:val="0"/>
  </w:style>
  <w:style w:type="character" w:customStyle="1" w:styleId="1495">
    <w:name w:val="T1684"/>
    <w:qFormat/>
    <w:uiPriority w:val="0"/>
  </w:style>
  <w:style w:type="character" w:customStyle="1" w:styleId="1496">
    <w:name w:val="T1694"/>
    <w:qFormat/>
    <w:uiPriority w:val="0"/>
  </w:style>
  <w:style w:type="character" w:customStyle="1" w:styleId="1497">
    <w:name w:val="T1704"/>
    <w:qFormat/>
    <w:uiPriority w:val="0"/>
  </w:style>
  <w:style w:type="character" w:customStyle="1" w:styleId="1498">
    <w:name w:val="T1717"/>
    <w:qFormat/>
    <w:uiPriority w:val="0"/>
  </w:style>
  <w:style w:type="character" w:customStyle="1" w:styleId="1499">
    <w:name w:val="T1724"/>
    <w:qFormat/>
    <w:uiPriority w:val="0"/>
    <w:rPr>
      <w:rFonts w:ascii="Symbol" w:hAnsi="Symbol" w:cs="Symbol"/>
    </w:rPr>
  </w:style>
  <w:style w:type="character" w:customStyle="1" w:styleId="1500">
    <w:name w:val="T1734"/>
    <w:qFormat/>
    <w:uiPriority w:val="0"/>
    <w:rPr>
      <w:rFonts w:ascii="Courier New" w:hAnsi="Courier New" w:cs="Courier New"/>
    </w:rPr>
  </w:style>
  <w:style w:type="character" w:customStyle="1" w:styleId="1501">
    <w:name w:val="T1743"/>
    <w:qFormat/>
    <w:uiPriority w:val="0"/>
    <w:rPr>
      <w:rFonts w:ascii="Wingdings" w:hAnsi="Wingdings" w:cs="Wingdings"/>
    </w:rPr>
  </w:style>
  <w:style w:type="character" w:customStyle="1" w:styleId="1502">
    <w:name w:val="T1753"/>
    <w:qFormat/>
    <w:uiPriority w:val="0"/>
    <w:rPr>
      <w:rFonts w:ascii="Symbol" w:hAnsi="Symbol" w:cs="Symbol"/>
    </w:rPr>
  </w:style>
  <w:style w:type="character" w:customStyle="1" w:styleId="1503">
    <w:name w:val="T1763"/>
    <w:qFormat/>
    <w:uiPriority w:val="0"/>
    <w:rPr>
      <w:rFonts w:ascii="Courier New" w:hAnsi="Courier New" w:cs="Courier New"/>
    </w:rPr>
  </w:style>
  <w:style w:type="character" w:customStyle="1" w:styleId="1504">
    <w:name w:val="T1773"/>
    <w:qFormat/>
    <w:uiPriority w:val="0"/>
    <w:rPr>
      <w:rFonts w:ascii="Wingdings" w:hAnsi="Wingdings" w:cs="Wingdings"/>
    </w:rPr>
  </w:style>
  <w:style w:type="character" w:customStyle="1" w:styleId="1505">
    <w:name w:val="T1783"/>
    <w:qFormat/>
    <w:uiPriority w:val="0"/>
    <w:rPr>
      <w:rFonts w:ascii="Symbol" w:hAnsi="Symbol" w:cs="Symbol"/>
    </w:rPr>
  </w:style>
  <w:style w:type="character" w:customStyle="1" w:styleId="1506">
    <w:name w:val="T1793"/>
    <w:qFormat/>
    <w:uiPriority w:val="0"/>
    <w:rPr>
      <w:rFonts w:ascii="Courier New" w:hAnsi="Courier New" w:cs="Courier New"/>
    </w:rPr>
  </w:style>
  <w:style w:type="character" w:customStyle="1" w:styleId="1507">
    <w:name w:val="T1803"/>
    <w:qFormat/>
    <w:uiPriority w:val="0"/>
    <w:rPr>
      <w:rFonts w:ascii="Wingdings" w:hAnsi="Wingdings" w:cs="Wingdings"/>
    </w:rPr>
  </w:style>
  <w:style w:type="character" w:customStyle="1" w:styleId="1508">
    <w:name w:val="T1816"/>
    <w:qFormat/>
    <w:uiPriority w:val="0"/>
  </w:style>
  <w:style w:type="character" w:customStyle="1" w:styleId="1509">
    <w:name w:val="T1824"/>
    <w:qFormat/>
    <w:uiPriority w:val="0"/>
  </w:style>
  <w:style w:type="character" w:customStyle="1" w:styleId="1510">
    <w:name w:val="T1833"/>
    <w:qFormat/>
    <w:uiPriority w:val="0"/>
  </w:style>
  <w:style w:type="character" w:customStyle="1" w:styleId="1511">
    <w:name w:val="T1843"/>
    <w:qFormat/>
    <w:uiPriority w:val="0"/>
  </w:style>
  <w:style w:type="character" w:customStyle="1" w:styleId="1512">
    <w:name w:val="T1853"/>
    <w:qFormat/>
    <w:uiPriority w:val="0"/>
  </w:style>
  <w:style w:type="character" w:customStyle="1" w:styleId="1513">
    <w:name w:val="T1863"/>
    <w:qFormat/>
    <w:uiPriority w:val="0"/>
  </w:style>
  <w:style w:type="character" w:customStyle="1" w:styleId="1514">
    <w:name w:val="T1873"/>
    <w:qFormat/>
    <w:uiPriority w:val="0"/>
  </w:style>
  <w:style w:type="character" w:customStyle="1" w:styleId="1515">
    <w:name w:val="T1883"/>
    <w:qFormat/>
    <w:uiPriority w:val="0"/>
  </w:style>
  <w:style w:type="character" w:customStyle="1" w:styleId="1516">
    <w:name w:val="T1893"/>
    <w:qFormat/>
    <w:uiPriority w:val="0"/>
  </w:style>
  <w:style w:type="character" w:customStyle="1" w:styleId="1517">
    <w:name w:val="T1903"/>
    <w:qFormat/>
    <w:uiPriority w:val="0"/>
  </w:style>
  <w:style w:type="character" w:customStyle="1" w:styleId="1518">
    <w:name w:val="T1916"/>
    <w:qFormat/>
    <w:uiPriority w:val="0"/>
  </w:style>
  <w:style w:type="character" w:customStyle="1" w:styleId="1519">
    <w:name w:val="T1924"/>
    <w:qFormat/>
    <w:uiPriority w:val="0"/>
  </w:style>
  <w:style w:type="character" w:customStyle="1" w:styleId="1520">
    <w:name w:val="T1933"/>
    <w:qFormat/>
    <w:uiPriority w:val="0"/>
  </w:style>
  <w:style w:type="character" w:customStyle="1" w:styleId="1521">
    <w:name w:val="T1943"/>
    <w:qFormat/>
    <w:uiPriority w:val="0"/>
  </w:style>
  <w:style w:type="character" w:customStyle="1" w:styleId="1522">
    <w:name w:val="T1953"/>
    <w:qFormat/>
    <w:uiPriority w:val="0"/>
  </w:style>
  <w:style w:type="character" w:customStyle="1" w:styleId="1523">
    <w:name w:val="T1963"/>
    <w:qFormat/>
    <w:uiPriority w:val="0"/>
  </w:style>
  <w:style w:type="character" w:customStyle="1" w:styleId="1524">
    <w:name w:val="T1973"/>
    <w:qFormat/>
    <w:uiPriority w:val="0"/>
  </w:style>
  <w:style w:type="character" w:customStyle="1" w:styleId="1525">
    <w:name w:val="T198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ADMINISTRACAO\Comissao_Licitacao\EDITAL\EDITAL%20CP\EDITAL%20CONCORR&#202;NCIA%202026\EDITAL%20CONCORR&#202;NCIA%20ELETR&#212;NICA%2010.2026%20-%20PAVIMENTA&#199;&#195;O%20ASF&#193;LTICA%20EM%20TSD%20NA%20RODOVIA%20VICINAL%20CAMPO%20LIMPO%20-%20POS%20PARECER.dotx" TargetMode="Externa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EDITAL CONCORRÊNCIA ELETRÔNICA 10.2026 - PAVIMENTAÇÃO ASFÁLTICA EM TSD NA RODOVIA VICINAL CAMPO LIMPO - POS PARECER.dotx</Template>
  <Pages>67</Pages>
  <Words>6911</Words>
  <Characters>39804</Characters>
  <TotalTime>21</TotalTime>
  <ScaleCrop>false</ScaleCrop>
  <LinksUpToDate>false</LinksUpToDate>
  <CharactersWithSpaces>48122</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2026-07-30T20:57:00Z</dcterms:created>
  <dc:creator>Elvis Aguiar</dc:creator>
  <cp:lastModifiedBy>Elvis Aguiar</cp:lastModifiedBy>
  <cp:lastPrinted>2026-07-30T21:20:00Z</cp:lastPrinted>
  <dcterms:modified xsi:type="dcterms:W3CDTF">2026-07-30T21:27:23Z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609DF46D2E3F4B228A9997E49488FF46_13</vt:lpwstr>
  </property>
  <property fmtid="{D5CDD505-2E9C-101B-9397-08002B2CF9AE}" pid="3" name="KSOProductBuildVer">
    <vt:lpwstr>1046-12.1.0.27458</vt:lpwstr>
  </property>
  <property fmtid="{D5CDD505-2E9C-101B-9397-08002B2CF9AE}" pid="4" name="KSOTemplateDocerSaveRecord">
    <vt:lpwstr>eyJoZGlkIjoiY2NlNDk4ZTRmNTFiNmM0ZTlkMmNlZmZlMGVjMmQwODkiLCJ1c2VySWQiOiIxMjM2OTUxMTMyNTU0In0=</vt:lpwstr>
  </property>
</Properties>
</file>